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82A597">
      <w:pPr>
        <w:jc w:val="center"/>
        <w:rPr>
          <w:rFonts w:ascii="宋体" w:hAnsi="Calibri" w:eastAsia="宋体" w:cs="Times New Roman"/>
          <w:color w:val="000000"/>
          <w:sz w:val="30"/>
          <w:szCs w:val="30"/>
          <w:highlight w:val="none"/>
        </w:rPr>
      </w:pPr>
      <w:bookmarkStart w:id="0" w:name="OLE_LINK31"/>
      <w:bookmarkStart w:id="1" w:name="OLE_LINK30"/>
    </w:p>
    <w:p w14:paraId="7BBB9930">
      <w:pPr>
        <w:pStyle w:val="156"/>
      </w:pPr>
      <w:r>
        <w:rPr>
          <w:sz w:val="48"/>
          <w:szCs w:val="48"/>
        </w:rPr>
        <w:drawing>
          <wp:anchor distT="0" distB="0" distL="114300" distR="114300" simplePos="0" relativeHeight="25166438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r>
        <w:rPr>
          <w:rFonts w:hint="eastAsia" w:ascii="楷体_GB2312" w:hAnsi="宋体" w:eastAsia="楷体_GB2312" w:cs="Times New Roman"/>
          <w:sz w:val="52"/>
          <w:szCs w:val="52"/>
        </w:rPr>
        <w:t>中国重汽集团济南商用车有限公司</w:t>
      </w:r>
    </w:p>
    <w:p w14:paraId="27BA30F9">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lang w:val="en-US" w:eastAsia="zh-CN"/>
        </w:rPr>
        <w:t>新能源轻卡怀挡车型改造项目-焊装线改造项目</w:t>
      </w:r>
    </w:p>
    <w:p w14:paraId="7F61D713">
      <w:pPr>
        <w:ind w:right="280"/>
        <w:jc w:val="center"/>
        <w:rPr>
          <w:rFonts w:ascii="楷体_GB2312" w:hAnsi="宋体" w:eastAsia="楷体_GB2312"/>
          <w:sz w:val="52"/>
          <w:szCs w:val="52"/>
        </w:rPr>
      </w:pP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u w:val="single"/>
        </w:rPr>
        <w:t>ZBGL2026020231</w:t>
      </w:r>
    </w:p>
    <w:p w14:paraId="10A10BCC">
      <w:pPr>
        <w:jc w:val="center"/>
        <w:rPr>
          <w:rFonts w:ascii="宋体" w:hAnsi="宋体"/>
          <w:sz w:val="48"/>
          <w:szCs w:val="48"/>
        </w:rPr>
      </w:pPr>
    </w:p>
    <w:p w14:paraId="12CB50D1">
      <w:pPr>
        <w:jc w:val="both"/>
        <w:rPr>
          <w:rFonts w:ascii="宋体" w:hAnsi="宋体"/>
          <w:sz w:val="28"/>
          <w:szCs w:val="28"/>
        </w:rPr>
      </w:pPr>
    </w:p>
    <w:p w14:paraId="0D8A0D9A">
      <w:pPr>
        <w:jc w:val="center"/>
        <w:rPr>
          <w:rFonts w:ascii="宋体" w:hAnsi="宋体"/>
          <w:sz w:val="28"/>
          <w:szCs w:val="28"/>
        </w:rPr>
      </w:pPr>
      <w:r>
        <w:rPr>
          <w:rFonts w:hint="eastAsia" w:ascii="宋体" w:hAnsi="宋体"/>
          <w:sz w:val="28"/>
          <w:szCs w:val="28"/>
        </w:rPr>
        <w:t>招 标 人：中国重汽集团济南商用车有限公司</w:t>
      </w: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02</w:t>
      </w:r>
      <w:r>
        <w:rPr>
          <w:rFonts w:hint="eastAsia" w:ascii="宋体" w:hAnsi="宋体"/>
          <w:sz w:val="28"/>
          <w:szCs w:val="28"/>
          <w:highlight w:val="none"/>
          <w:u w:val="single"/>
        </w:rPr>
        <w:t>月</w:t>
      </w:r>
    </w:p>
    <w:p w14:paraId="5D4679AE">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131"/>
            <w:jc w:val="center"/>
            <w:rPr>
              <w:rFonts w:ascii="黑体" w:hAnsi="黑体" w:eastAsia="黑体"/>
              <w:b/>
              <w:color w:val="auto"/>
              <w:sz w:val="44"/>
              <w:szCs w:val="44"/>
              <w:lang w:val="zh-CN"/>
            </w:rPr>
          </w:pPr>
          <w:bookmarkStart w:id="2" w:name="_Toc3265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9CEB711">
          <w:pPr>
            <w:pStyle w:val="25"/>
            <w:tabs>
              <w:tab w:val="right" w:leader="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_Toc1260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_Toc1260 \h </w:instrText>
          </w:r>
          <w:r>
            <w:fldChar w:fldCharType="separate"/>
          </w:r>
          <w:r>
            <w:t>- 1 -</w:t>
          </w:r>
          <w:r>
            <w:fldChar w:fldCharType="end"/>
          </w:r>
          <w:r>
            <w:rPr>
              <w:rFonts w:hint="eastAsia" w:ascii="Calibri" w:hAnsi="Calibri"/>
              <w:bCs/>
              <w:kern w:val="44"/>
              <w:szCs w:val="44"/>
            </w:rPr>
            <w:fldChar w:fldCharType="end"/>
          </w:r>
        </w:p>
        <w:p w14:paraId="75168133">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_Toc6686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_Toc6686 \h </w:instrText>
          </w:r>
          <w:r>
            <w:fldChar w:fldCharType="separate"/>
          </w:r>
          <w:r>
            <w:t>- 5 -</w:t>
          </w:r>
          <w:r>
            <w:fldChar w:fldCharType="end"/>
          </w:r>
          <w:r>
            <w:rPr>
              <w:rFonts w:hint="eastAsia" w:ascii="Calibri" w:hAnsi="Calibri" w:eastAsia="宋体" w:cs="Times New Roman"/>
              <w:bCs/>
              <w:kern w:val="44"/>
              <w:szCs w:val="44"/>
            </w:rPr>
            <w:fldChar w:fldCharType="end"/>
          </w:r>
        </w:p>
        <w:p w14:paraId="1550064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_Toc12639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技术标书</w:t>
          </w:r>
          <w:r>
            <w:tab/>
          </w:r>
          <w:r>
            <w:t xml:space="preserve">- </w:t>
          </w:r>
          <w:r>
            <w:fldChar w:fldCharType="begin"/>
          </w:r>
          <w:r>
            <w:instrText xml:space="preserve"> PAGEREF _Toc12639 \h </w:instrText>
          </w:r>
          <w:r>
            <w:fldChar w:fldCharType="separate"/>
          </w:r>
          <w:r>
            <w:t>16</w:t>
          </w:r>
          <w:r>
            <w:fldChar w:fldCharType="end"/>
          </w:r>
          <w:r>
            <w:rPr>
              <w:rFonts w:hint="eastAsia" w:ascii="Calibri" w:hAnsi="Calibri" w:eastAsia="宋体" w:cs="Times New Roman"/>
              <w:bCs/>
              <w:kern w:val="44"/>
              <w:szCs w:val="44"/>
            </w:rPr>
            <w:fldChar w:fldCharType="end"/>
          </w:r>
          <w:r>
            <w:t xml:space="preserve"> -</w:t>
          </w:r>
        </w:p>
        <w:p w14:paraId="5693AB66">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_Toc25529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rPr>
            <w:t>第一章</w:t>
          </w:r>
          <w:r>
            <w:rPr>
              <w:rFonts w:ascii="黑体" w:hAnsi="等线" w:eastAsia="黑体" w:cs="Times New Roman"/>
              <w:kern w:val="44"/>
              <w:szCs w:val="28"/>
              <w:highlight w:val="none"/>
            </w:rPr>
            <w:t xml:space="preserve">  </w:t>
          </w:r>
          <w:r>
            <w:rPr>
              <w:rFonts w:hint="eastAsia" w:ascii="黑体" w:hAnsi="等线" w:eastAsia="黑体" w:cs="Times New Roman"/>
              <w:kern w:val="44"/>
              <w:szCs w:val="28"/>
              <w:highlight w:val="none"/>
            </w:rPr>
            <w:t>采购货物概况</w:t>
          </w:r>
          <w:r>
            <w:tab/>
          </w:r>
          <w:r>
            <w:fldChar w:fldCharType="begin"/>
          </w:r>
          <w:r>
            <w:instrText xml:space="preserve"> PAGEREF _Toc25529 \h </w:instrText>
          </w:r>
          <w:r>
            <w:fldChar w:fldCharType="separate"/>
          </w:r>
          <w:r>
            <w:t>- 17 -</w:t>
          </w:r>
          <w:r>
            <w:fldChar w:fldCharType="end"/>
          </w:r>
          <w:r>
            <w:rPr>
              <w:rFonts w:hint="eastAsia" w:ascii="Calibri" w:hAnsi="Calibri" w:eastAsia="宋体" w:cs="Times New Roman"/>
              <w:bCs/>
              <w:kern w:val="44"/>
              <w:szCs w:val="44"/>
            </w:rPr>
            <w:fldChar w:fldCharType="end"/>
          </w:r>
        </w:p>
        <w:p w14:paraId="3A16DD41">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_Toc28293 </w:instrText>
          </w:r>
          <w:r>
            <w:rPr>
              <w:rFonts w:hint="eastAsia" w:ascii="Calibri" w:hAnsi="Calibri" w:eastAsia="宋体" w:cs="Times New Roman"/>
              <w:bCs/>
              <w:kern w:val="44"/>
              <w:szCs w:val="44"/>
            </w:rPr>
            <w:fldChar w:fldCharType="separate"/>
          </w:r>
          <w:r>
            <w:rPr>
              <w:rFonts w:hint="eastAsia" w:ascii="黑体" w:hAnsi="黑体" w:eastAsia="黑体" w:cs="黑体"/>
              <w:kern w:val="44"/>
              <w:szCs w:val="28"/>
              <w:highlight w:val="none"/>
            </w:rPr>
            <w:t>第二章</w:t>
          </w:r>
          <w:r>
            <w:rPr>
              <w:rFonts w:ascii="黑体" w:hAnsi="黑体" w:eastAsia="黑体" w:cs="黑体"/>
              <w:kern w:val="44"/>
              <w:szCs w:val="28"/>
              <w:highlight w:val="none"/>
            </w:rPr>
            <w:t xml:space="preserve">  </w:t>
          </w:r>
          <w:r>
            <w:rPr>
              <w:rFonts w:hint="eastAsia" w:ascii="黑体" w:hAnsi="黑体" w:eastAsia="黑体" w:cs="黑体"/>
              <w:kern w:val="44"/>
              <w:szCs w:val="28"/>
              <w:highlight w:val="none"/>
            </w:rPr>
            <w:t>技术要求</w:t>
          </w:r>
          <w:r>
            <w:tab/>
          </w:r>
          <w:r>
            <w:fldChar w:fldCharType="begin"/>
          </w:r>
          <w:r>
            <w:instrText xml:space="preserve"> PAGEREF _Toc28293 \h </w:instrText>
          </w:r>
          <w:r>
            <w:fldChar w:fldCharType="separate"/>
          </w:r>
          <w:r>
            <w:t>- 21 -</w:t>
          </w:r>
          <w:r>
            <w:fldChar w:fldCharType="end"/>
          </w:r>
          <w:r>
            <w:rPr>
              <w:rFonts w:hint="eastAsia" w:ascii="Calibri" w:hAnsi="Calibri" w:eastAsia="宋体" w:cs="Times New Roman"/>
              <w:bCs/>
              <w:kern w:val="44"/>
              <w:szCs w:val="44"/>
            </w:rPr>
            <w:fldChar w:fldCharType="end"/>
          </w:r>
        </w:p>
        <w:p w14:paraId="343C98AF">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_Toc2566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第三章  供货范围及供货方式</w:t>
          </w:r>
          <w:r>
            <w:tab/>
          </w:r>
          <w:r>
            <w:fldChar w:fldCharType="begin"/>
          </w:r>
          <w:r>
            <w:instrText xml:space="preserve"> PAGEREF _Toc2566 \h </w:instrText>
          </w:r>
          <w:r>
            <w:fldChar w:fldCharType="separate"/>
          </w:r>
          <w:r>
            <w:t>- 30 -</w:t>
          </w:r>
          <w:r>
            <w:fldChar w:fldCharType="end"/>
          </w:r>
          <w:r>
            <w:rPr>
              <w:rFonts w:hint="eastAsia" w:ascii="Calibri" w:hAnsi="Calibri" w:eastAsia="宋体" w:cs="Times New Roman"/>
              <w:bCs/>
              <w:kern w:val="44"/>
              <w:szCs w:val="44"/>
            </w:rPr>
            <w:fldChar w:fldCharType="end"/>
          </w:r>
        </w:p>
        <w:p w14:paraId="74AF9627">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_Toc24457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第四章  质保期及售后服务</w:t>
          </w:r>
          <w:r>
            <w:tab/>
          </w:r>
          <w:r>
            <w:fldChar w:fldCharType="begin"/>
          </w:r>
          <w:r>
            <w:instrText xml:space="preserve"> PAGEREF _Toc24457 \h </w:instrText>
          </w:r>
          <w:r>
            <w:fldChar w:fldCharType="separate"/>
          </w:r>
          <w:r>
            <w:t>- 35 -</w:t>
          </w:r>
          <w:r>
            <w:fldChar w:fldCharType="end"/>
          </w:r>
          <w:r>
            <w:rPr>
              <w:rFonts w:hint="eastAsia" w:ascii="Calibri" w:hAnsi="Calibri" w:eastAsia="宋体" w:cs="Times New Roman"/>
              <w:bCs/>
              <w:kern w:val="44"/>
              <w:szCs w:val="44"/>
            </w:rPr>
            <w:fldChar w:fldCharType="end"/>
          </w:r>
        </w:p>
        <w:p w14:paraId="5DD673F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_Toc5083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第五章  验收</w:t>
          </w:r>
          <w:r>
            <w:tab/>
          </w:r>
          <w:r>
            <w:fldChar w:fldCharType="begin"/>
          </w:r>
          <w:r>
            <w:instrText xml:space="preserve"> PAGEREF _Toc5083 \h </w:instrText>
          </w:r>
          <w:r>
            <w:fldChar w:fldCharType="separate"/>
          </w:r>
          <w:r>
            <w:t>- 37 -</w:t>
          </w:r>
          <w:r>
            <w:fldChar w:fldCharType="end"/>
          </w:r>
          <w:r>
            <w:rPr>
              <w:rFonts w:hint="eastAsia" w:ascii="Calibri" w:hAnsi="Calibri" w:eastAsia="宋体" w:cs="Times New Roman"/>
              <w:bCs/>
              <w:kern w:val="44"/>
              <w:szCs w:val="44"/>
            </w:rPr>
            <w:fldChar w:fldCharType="end"/>
          </w:r>
        </w:p>
        <w:p w14:paraId="7E83E5F5">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_Toc4480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第六章  投标技术文件一般要求</w:t>
          </w:r>
          <w:r>
            <w:tab/>
          </w:r>
          <w:r>
            <w:fldChar w:fldCharType="begin"/>
          </w:r>
          <w:r>
            <w:instrText xml:space="preserve"> PAGEREF _Toc4480 \h </w:instrText>
          </w:r>
          <w:r>
            <w:fldChar w:fldCharType="separate"/>
          </w:r>
          <w:r>
            <w:t>- 41 -</w:t>
          </w:r>
          <w:r>
            <w:fldChar w:fldCharType="end"/>
          </w:r>
          <w:r>
            <w:rPr>
              <w:rFonts w:hint="eastAsia" w:ascii="Calibri" w:hAnsi="Calibri" w:eastAsia="宋体" w:cs="Times New Roman"/>
              <w:bCs/>
              <w:kern w:val="44"/>
              <w:szCs w:val="44"/>
            </w:rPr>
            <w:fldChar w:fldCharType="end"/>
          </w:r>
        </w:p>
        <w:p w14:paraId="2EED2AF7">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_Toc23858 </w:instrText>
          </w:r>
          <w:r>
            <w:rPr>
              <w:rFonts w:hint="eastAsia" w:ascii="Calibri" w:hAnsi="Calibri" w:eastAsia="宋体" w:cs="Times New Roman"/>
              <w:bCs/>
              <w:kern w:val="44"/>
              <w:szCs w:val="44"/>
            </w:rPr>
            <w:fldChar w:fldCharType="separate"/>
          </w:r>
          <w:r>
            <w:rPr>
              <w:rFonts w:hint="eastAsia" w:ascii="黑体" w:hAnsi="等线" w:eastAsia="黑体" w:cs="Times New Roman"/>
              <w:kern w:val="44"/>
              <w:szCs w:val="28"/>
              <w:highlight w:val="none"/>
              <w:lang w:val="en-GB"/>
            </w:rPr>
            <w:t>第七章  其它要求及说明</w:t>
          </w:r>
          <w:r>
            <w:tab/>
          </w:r>
          <w:r>
            <w:fldChar w:fldCharType="begin"/>
          </w:r>
          <w:r>
            <w:instrText xml:space="preserve"> PAGEREF _Toc23858 \h </w:instrText>
          </w:r>
          <w:r>
            <w:fldChar w:fldCharType="separate"/>
          </w:r>
          <w:r>
            <w:t>- 43 -</w:t>
          </w:r>
          <w:r>
            <w:fldChar w:fldCharType="end"/>
          </w:r>
          <w:r>
            <w:rPr>
              <w:rFonts w:hint="eastAsia" w:ascii="Calibri" w:hAnsi="Calibri" w:eastAsia="宋体" w:cs="Times New Roman"/>
              <w:bCs/>
              <w:kern w:val="44"/>
              <w:szCs w:val="44"/>
            </w:rPr>
            <w:fldChar w:fldCharType="end"/>
          </w:r>
        </w:p>
        <w:p w14:paraId="63B4453D">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_Toc12009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_Toc12009 \h </w:instrText>
          </w:r>
          <w:r>
            <w:fldChar w:fldCharType="separate"/>
          </w:r>
          <w:r>
            <w:t>- 45 -</w:t>
          </w:r>
          <w:r>
            <w:fldChar w:fldCharType="end"/>
          </w:r>
          <w:r>
            <w:rPr>
              <w:rFonts w:hint="eastAsia" w:ascii="Calibri" w:hAnsi="Calibri" w:eastAsia="宋体" w:cs="Times New Roman"/>
              <w:bCs/>
              <w:kern w:val="44"/>
              <w:szCs w:val="44"/>
            </w:rPr>
            <w:fldChar w:fldCharType="end"/>
          </w:r>
        </w:p>
        <w:p w14:paraId="6441840E">
          <w:pPr>
            <w:pStyle w:val="25"/>
            <w:tabs>
              <w:tab w:val="right" w:leader="dot" w:pos="9070"/>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_Toc14376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_Toc14376 \h </w:instrText>
          </w:r>
          <w:r>
            <w:fldChar w:fldCharType="separate"/>
          </w:r>
          <w:r>
            <w:t>- 61 -</w:t>
          </w:r>
          <w:r>
            <w:fldChar w:fldCharType="end"/>
          </w:r>
          <w:r>
            <w:rPr>
              <w:rFonts w:hint="eastAsia" w:ascii="Calibri" w:hAnsi="Calibri" w:eastAsia="宋体" w:cs="Times New Roman"/>
              <w:bCs/>
              <w:kern w:val="44"/>
              <w:szCs w:val="44"/>
            </w:rPr>
            <w:fldChar w:fldCharType="end"/>
          </w:r>
        </w:p>
        <w:p w14:paraId="6617A57C">
          <w:pPr>
            <w:pStyle w:val="25"/>
            <w:tabs>
              <w:tab w:val="right" w:leader="dot" w:pos="8729"/>
            </w:tabs>
          </w:pPr>
          <w:r>
            <w:rPr>
              <w:rFonts w:hint="eastAsia" w:ascii="Calibri" w:hAnsi="Calibri" w:eastAsia="宋体" w:cs="Times New Roman"/>
              <w:bCs/>
              <w:kern w:val="44"/>
              <w:szCs w:val="44"/>
            </w:rPr>
            <w:fldChar w:fldCharType="end"/>
          </w:r>
        </w:p>
      </w:sdtContent>
    </w:sdt>
    <w:p w14:paraId="582BF911">
      <w:pPr>
        <w:pStyle w:val="17"/>
        <w:tabs>
          <w:tab w:val="left" w:pos="2940"/>
        </w:tabs>
        <w:spacing w:line="360" w:lineRule="auto"/>
      </w:pPr>
      <w:r>
        <w:tab/>
      </w:r>
    </w:p>
    <w:p w14:paraId="29FEE1FC">
      <w:pPr>
        <w:pStyle w:val="17"/>
        <w:spacing w:line="360" w:lineRule="auto"/>
        <w:jc w:val="center"/>
      </w:pPr>
    </w:p>
    <w:p w14:paraId="1A6E7B1A">
      <w:pPr>
        <w:pStyle w:val="17"/>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157"/>
      </w:pPr>
      <w:bookmarkStart w:id="3" w:name="_Toc1260"/>
      <w:bookmarkStart w:id="4" w:name="_Toc47976587"/>
      <w:r>
        <w:rPr>
          <w:rFonts w:hint="eastAsia"/>
        </w:rPr>
        <w:t>招标公告</w:t>
      </w:r>
      <w:bookmarkEnd w:id="3"/>
      <w:bookmarkEnd w:id="4"/>
    </w:p>
    <w:p w14:paraId="3B867C39">
      <w:pPr>
        <w:pStyle w:val="157"/>
        <w:rPr>
          <w:rFonts w:hint="eastAsia"/>
        </w:rPr>
      </w:pPr>
      <w:bookmarkStart w:id="5" w:name="_Toc15164"/>
      <w:bookmarkStart w:id="6" w:name="_Toc6410"/>
      <w:bookmarkStart w:id="7" w:name="_Toc32474"/>
      <w:bookmarkStart w:id="8" w:name="_Toc18859"/>
      <w:r>
        <w:rPr>
          <w:rFonts w:hint="eastAsia"/>
          <w:sz w:val="28"/>
        </w:rPr>
        <w:t>新能源轻卡怀挡车型改造项目-焊装线改造项目招标公告</w:t>
      </w:r>
      <w:bookmarkEnd w:id="5"/>
      <w:bookmarkEnd w:id="6"/>
      <w:bookmarkEnd w:id="7"/>
      <w:bookmarkEnd w:id="8"/>
    </w:p>
    <w:p w14:paraId="2A47C58A">
      <w:pPr>
        <w:pStyle w:val="158"/>
      </w:pPr>
      <w:bookmarkStart w:id="9" w:name="_Toc47976588"/>
      <w:r>
        <w:rPr>
          <w:rFonts w:hint="eastAsia"/>
        </w:rPr>
        <w:t>项目名称及项目编号</w:t>
      </w:r>
      <w:bookmarkEnd w:id="9"/>
    </w:p>
    <w:p w14:paraId="1E71F649">
      <w:pPr>
        <w:pStyle w:val="159"/>
        <w:rPr>
          <w:sz w:val="24"/>
          <w:szCs w:val="24"/>
          <w:highlight w:val="none"/>
        </w:rPr>
      </w:pPr>
      <w:r>
        <w:rPr>
          <w:rFonts w:hint="eastAsia"/>
          <w:sz w:val="24"/>
          <w:szCs w:val="24"/>
        </w:rPr>
        <w:t>项</w:t>
      </w:r>
      <w:r>
        <w:rPr>
          <w:rFonts w:hint="eastAsia"/>
          <w:sz w:val="24"/>
          <w:szCs w:val="24"/>
          <w:highlight w:val="none"/>
        </w:rPr>
        <w:t>目名称：</w:t>
      </w:r>
      <w:r>
        <w:rPr>
          <w:rFonts w:hint="eastAsia"/>
          <w:sz w:val="24"/>
          <w:szCs w:val="24"/>
          <w:highlight w:val="yellow"/>
        </w:rPr>
        <w:t>新能源轻卡怀挡车型改造项目-焊装线改造项目</w:t>
      </w:r>
    </w:p>
    <w:p w14:paraId="15020D03">
      <w:pPr>
        <w:pStyle w:val="159"/>
        <w:rPr>
          <w:sz w:val="24"/>
          <w:szCs w:val="24"/>
        </w:rPr>
      </w:pPr>
      <w:r>
        <w:rPr>
          <w:rFonts w:hint="eastAsia"/>
          <w:sz w:val="24"/>
          <w:szCs w:val="24"/>
        </w:rPr>
        <w:t>项目编号：</w:t>
      </w:r>
      <w:r>
        <w:rPr>
          <w:rFonts w:hint="eastAsia"/>
          <w:sz w:val="24"/>
          <w:szCs w:val="24"/>
          <w:highlight w:val="yellow"/>
        </w:rPr>
        <w:t>ZBGL2026020231</w:t>
      </w:r>
    </w:p>
    <w:p w14:paraId="0AB9F24D">
      <w:pPr>
        <w:pStyle w:val="158"/>
      </w:pPr>
      <w:bookmarkStart w:id="10" w:name="_Toc47976589"/>
      <w:r>
        <w:rPr>
          <w:rFonts w:hint="eastAsia"/>
          <w:lang w:val="en-US" w:eastAsia="zh-CN"/>
        </w:rPr>
        <w:t>项目概况</w:t>
      </w:r>
      <w:r>
        <w:rPr>
          <w:rFonts w:hint="eastAsia"/>
        </w:rPr>
        <w:t>及招标形式</w:t>
      </w:r>
      <w:bookmarkEnd w:id="10"/>
    </w:p>
    <w:p w14:paraId="1A912F05">
      <w:pPr>
        <w:pStyle w:val="159"/>
        <w:numPr>
          <w:ilvl w:val="0"/>
          <w:numId w:val="7"/>
        </w:numPr>
        <w:rPr>
          <w:sz w:val="24"/>
          <w:szCs w:val="24"/>
        </w:rPr>
      </w:pPr>
      <w:r>
        <w:rPr>
          <w:rFonts w:hint="eastAsia"/>
          <w:sz w:val="24"/>
          <w:szCs w:val="24"/>
        </w:rPr>
        <w:t>招标内容：</w:t>
      </w:r>
      <w:r>
        <w:rPr>
          <w:rFonts w:hint="eastAsia"/>
          <w:sz w:val="24"/>
          <w:szCs w:val="24"/>
          <w:highlight w:val="yellow"/>
          <w:lang w:val="en-US" w:eastAsia="zh-CN"/>
        </w:rPr>
        <w:t>对手工焊夹具进行</w:t>
      </w:r>
      <w:r>
        <w:rPr>
          <w:rFonts w:hint="eastAsia"/>
          <w:sz w:val="24"/>
          <w:szCs w:val="24"/>
          <w:highlight w:val="yellow"/>
        </w:rPr>
        <w:t>新增、改制，并对焊装线进行适应性改造。</w:t>
      </w:r>
    </w:p>
    <w:p w14:paraId="4EC58B63">
      <w:pPr>
        <w:pStyle w:val="159"/>
        <w:rPr>
          <w:sz w:val="24"/>
          <w:szCs w:val="24"/>
        </w:rPr>
      </w:pPr>
      <w:r>
        <w:rPr>
          <w:rFonts w:hint="eastAsia"/>
          <w:sz w:val="24"/>
          <w:szCs w:val="24"/>
        </w:rPr>
        <w:t>招标形式：</w:t>
      </w:r>
      <w:r>
        <w:rPr>
          <w:rFonts w:hint="eastAsia"/>
          <w:sz w:val="24"/>
          <w:szCs w:val="24"/>
          <w:highlight w:val="yellow"/>
        </w:rPr>
        <w:t>公开招标</w:t>
      </w:r>
    </w:p>
    <w:p w14:paraId="0B813421">
      <w:pPr>
        <w:pStyle w:val="158"/>
        <w:rPr>
          <w:highlight w:val="none"/>
        </w:rPr>
      </w:pPr>
      <w:bookmarkStart w:id="11" w:name="_Toc47976590"/>
      <w:r>
        <w:rPr>
          <w:rFonts w:hint="eastAsia"/>
          <w:highlight w:val="none"/>
        </w:rPr>
        <w:t>投标人资格要求</w:t>
      </w:r>
      <w:bookmarkEnd w:id="11"/>
      <w:r>
        <w:rPr>
          <w:rFonts w:hint="eastAsia"/>
          <w:highlight w:val="none"/>
          <w:lang w:eastAsia="zh-CN"/>
        </w:rPr>
        <w:t>：</w:t>
      </w:r>
    </w:p>
    <w:p w14:paraId="2C45CD6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bookmarkStart w:id="12" w:name="_Toc47976591"/>
      <w:r>
        <w:rPr>
          <w:rFonts w:hint="eastAsia" w:ascii="宋体"/>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拟标投人必须是在中华人民共和国境内注册的独立法人机构，具有独立承担民事责任能力；注册资金不少于</w:t>
      </w:r>
      <w:r>
        <w:rPr>
          <w:rFonts w:hint="eastAsia" w:ascii="宋体"/>
          <w:b w:val="0"/>
          <w:bCs/>
          <w:strike w:val="0"/>
          <w:dstrike w:val="0"/>
          <w:highlight w:val="none"/>
          <w:u w:val="single"/>
          <w:lang w:val="en-US" w:eastAsia="zh-CN"/>
        </w:rPr>
        <w:t xml:space="preserve"> 500 </w:t>
      </w:r>
      <w:r>
        <w:rPr>
          <w:rFonts w:hint="eastAsia" w:ascii="宋体"/>
          <w:b w:val="0"/>
          <w:bCs/>
          <w:strike w:val="0"/>
          <w:dstrike w:val="0"/>
          <w:highlight w:val="none"/>
          <w:u w:val="single"/>
        </w:rPr>
        <w:t>万</w:t>
      </w:r>
      <w:r>
        <w:rPr>
          <w:rFonts w:hint="eastAsia" w:ascii="宋体"/>
          <w:b w:val="0"/>
          <w:bCs/>
          <w:strike w:val="0"/>
          <w:dstrike w:val="0"/>
          <w:highlight w:val="none"/>
        </w:rPr>
        <w:t>人民币（或等值其他货币）；公司成立</w:t>
      </w:r>
      <w:r>
        <w:rPr>
          <w:rFonts w:hint="eastAsia" w:ascii="宋体"/>
          <w:b w:val="0"/>
          <w:bCs/>
          <w:strike w:val="0"/>
          <w:dstrike w:val="0"/>
          <w:highlight w:val="none"/>
          <w:u w:val="single"/>
          <w:lang w:val="en-US" w:eastAsia="zh-CN"/>
        </w:rPr>
        <w:t xml:space="preserve">  3  </w:t>
      </w:r>
      <w:r>
        <w:rPr>
          <w:rFonts w:hint="eastAsia" w:ascii="宋体"/>
          <w:b w:val="0"/>
          <w:bCs/>
          <w:strike w:val="0"/>
          <w:dstrike w:val="0"/>
          <w:highlight w:val="none"/>
        </w:rPr>
        <w:t>年以上（以营业执照成立日期到开标当日满</w:t>
      </w:r>
      <w:r>
        <w:rPr>
          <w:rFonts w:hint="eastAsia" w:ascii="宋体"/>
          <w:b w:val="0"/>
          <w:bCs/>
          <w:strike w:val="0"/>
          <w:dstrike w:val="0"/>
          <w:highlight w:val="none"/>
          <w:lang w:val="en-US" w:eastAsia="zh-CN"/>
        </w:rPr>
        <w:t xml:space="preserve"> 3 </w:t>
      </w:r>
      <w:r>
        <w:rPr>
          <w:rFonts w:hint="eastAsia" w:ascii="宋体"/>
          <w:b w:val="0"/>
          <w:bCs/>
          <w:strike w:val="0"/>
          <w:dstrike w:val="0"/>
          <w:highlight w:val="none"/>
        </w:rPr>
        <w:t>年为准），且经营范围满足招标人需求；并在人员、设备、资金等方面具有承担本项目的能力</w:t>
      </w:r>
      <w:r>
        <w:rPr>
          <w:rFonts w:hint="eastAsia" w:ascii="宋体"/>
          <w:b w:val="0"/>
          <w:bCs/>
          <w:strike w:val="0"/>
          <w:dstrike w:val="0"/>
          <w:highlight w:val="none"/>
          <w:lang w:eastAsia="zh-CN"/>
        </w:rPr>
        <w:t>，且满足技术、质量、资金等要求</w:t>
      </w:r>
      <w:r>
        <w:rPr>
          <w:rFonts w:hint="eastAsia" w:ascii="宋体"/>
          <w:b w:val="0"/>
          <w:bCs/>
          <w:strike w:val="0"/>
          <w:dstrike w:val="0"/>
          <w:highlight w:val="none"/>
        </w:rPr>
        <w:t>；</w:t>
      </w:r>
    </w:p>
    <w:p w14:paraId="678B14CD">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无招标违规、谎报年度报告信息、提供虚假资质资料等行为或其他行政处罚记录；</w:t>
      </w:r>
    </w:p>
    <w:p w14:paraId="26DB04CF">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近三年内在经营活动中无与本项目有关的违法及重大违规情况</w:t>
      </w:r>
      <w:r>
        <w:rPr>
          <w:rFonts w:hint="eastAsia" w:ascii="宋体"/>
          <w:b w:val="0"/>
          <w:bCs/>
          <w:strike w:val="0"/>
          <w:dstrike w:val="0"/>
          <w:highlight w:val="none"/>
          <w:lang w:eastAsia="zh-CN"/>
        </w:rPr>
        <w:t>；</w:t>
      </w:r>
    </w:p>
    <w:p w14:paraId="289F54E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ascii="宋体"/>
          <w:b w:val="0"/>
          <w:bCs/>
          <w:strike w:val="0"/>
          <w:dstrike w:val="0"/>
          <w:highlight w:val="none"/>
          <w:lang w:val="en-US" w:eastAsia="zh-CN"/>
        </w:rPr>
        <w:t>声明</w:t>
      </w:r>
      <w:r>
        <w:rPr>
          <w:rFonts w:hint="eastAsia" w:ascii="宋体"/>
          <w:b w:val="0"/>
          <w:bCs/>
          <w:strike w:val="0"/>
          <w:dstrike w:val="0"/>
          <w:highlight w:val="none"/>
        </w:rPr>
        <w:t>；</w:t>
      </w:r>
    </w:p>
    <w:p w14:paraId="14202797">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公司经营范围满足招标项目需求；</w:t>
      </w:r>
    </w:p>
    <w:p w14:paraId="4A68BEA4">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投标人须具有履行招标文件所有设备、专业技术等要求的能力；</w:t>
      </w:r>
    </w:p>
    <w:p w14:paraId="6411B33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投标人须有依法缴纳税收和社会保障资金的良好记录；</w:t>
      </w:r>
    </w:p>
    <w:p w14:paraId="4B30D5E2">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具有本次招标货物的供货、安装、售后服务等的相应资质；</w:t>
      </w:r>
    </w:p>
    <w:p w14:paraId="79E64F13">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投标人须负责提供合理的便于运输的包装物，并承担相关费用</w:t>
      </w:r>
      <w:r>
        <w:rPr>
          <w:rFonts w:hint="eastAsia" w:ascii="宋体"/>
          <w:b w:val="0"/>
          <w:bCs/>
          <w:strike w:val="0"/>
          <w:dstrike w:val="0"/>
          <w:highlight w:val="none"/>
          <w:lang w:eastAsia="zh-CN"/>
        </w:rPr>
        <w:t>；</w:t>
      </w:r>
    </w:p>
    <w:p w14:paraId="563CAAA9">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投标人须认可招标人的工作指令，包括节、假日能正常开展工作的要求。</w:t>
      </w:r>
    </w:p>
    <w:p w14:paraId="6D0DA0F6">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lang w:val="en-US" w:eastAsia="zh-CN"/>
        </w:rPr>
        <w:t>拟投标人的直接或间接股东、法定代表人、董事、监事、高管非重汽员工及其亲属；</w:t>
      </w:r>
    </w:p>
    <w:p w14:paraId="2280F191">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投标人必须是最终投标、签订合同的单位，不得以任何理由将已中标项目以任何形式转包或者分包给其他单位</w:t>
      </w:r>
      <w:r>
        <w:rPr>
          <w:rFonts w:hint="eastAsia" w:ascii="宋体"/>
          <w:b w:val="0"/>
          <w:bCs/>
          <w:strike w:val="0"/>
          <w:dstrike w:val="0"/>
          <w:highlight w:val="none"/>
          <w:lang w:eastAsia="zh-CN"/>
        </w:rPr>
        <w:t>；</w:t>
      </w:r>
    </w:p>
    <w:p w14:paraId="5ED4DDBF">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14:paraId="29ED9210">
      <w:pPr>
        <w:pStyle w:val="159"/>
        <w:keepNext w:val="0"/>
        <w:keepLines w:val="0"/>
        <w:pageBreakBefore w:val="0"/>
        <w:widowControl w:val="0"/>
        <w:numPr>
          <w:ilvl w:val="0"/>
          <w:numId w:val="8"/>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14:paraId="76B97D53">
      <w:pPr>
        <w:pStyle w:val="158"/>
        <w:rPr>
          <w:highlight w:val="none"/>
        </w:rPr>
      </w:pPr>
      <w:r>
        <w:rPr>
          <w:rFonts w:hint="eastAsia"/>
          <w:highlight w:val="none"/>
        </w:rPr>
        <w:t>报名及招标文件的获取</w:t>
      </w:r>
      <w:bookmarkEnd w:id="12"/>
    </w:p>
    <w:p w14:paraId="5DF18DB2">
      <w:pPr>
        <w:pStyle w:val="1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14:paraId="4509C0DA">
      <w:pPr>
        <w:pStyle w:val="158"/>
        <w:rPr>
          <w:rFonts w:hint="eastAsia" w:cs="Times New Roman"/>
          <w:highlight w:val="none"/>
        </w:rPr>
      </w:pPr>
      <w:bookmarkStart w:id="13" w:name="_Toc47976592"/>
      <w:r>
        <w:rPr>
          <w:rFonts w:hint="eastAsia" w:cs="Times New Roman"/>
          <w:highlight w:val="none"/>
        </w:rPr>
        <w:t>投标文件的递交</w:t>
      </w:r>
      <w:bookmarkEnd w:id="13"/>
    </w:p>
    <w:p w14:paraId="29499F7F">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lang w:val="en-US" w:eastAsia="zh-CN"/>
        </w:rPr>
        <w:t>16</w:t>
      </w:r>
      <w:r>
        <w:rPr>
          <w:rFonts w:hint="eastAsia" w:ascii="宋体" w:hAnsi="宋体" w:eastAsia="宋体" w:cs="宋体"/>
          <w:b w:val="0"/>
          <w:bCs w:val="0"/>
          <w:color w:val="000000"/>
          <w:sz w:val="24"/>
          <w:szCs w:val="24"/>
        </w:rPr>
        <w:t>）进行注册，注册完毕后按照“SRM系统供应商用户手册（附件1</w:t>
      </w:r>
      <w:r>
        <w:rPr>
          <w:rFonts w:hint="eastAsia"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rPr>
        <w:t>）”，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E7E22E6">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31DAA47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：2026年4月</w:t>
      </w:r>
      <w:r>
        <w:rPr>
          <w:rFonts w:hint="eastAsia" w:hAnsi="宋体" w:eastAsia="宋体" w:cs="宋体"/>
          <w:b w:val="0"/>
          <w:bCs w:val="0"/>
          <w:color w:val="000000"/>
          <w:sz w:val="24"/>
          <w:szCs w:val="24"/>
          <w:highlight w:val="yellow"/>
          <w:lang w:val="en-US" w:eastAsia="zh-CN"/>
        </w:rPr>
        <w:t>28</w:t>
      </w:r>
      <w:r>
        <w:rPr>
          <w:rFonts w:hint="eastAsia" w:ascii="宋体" w:hAnsi="宋体" w:eastAsia="宋体" w:cs="宋体"/>
          <w:b w:val="0"/>
          <w:bCs w:val="0"/>
          <w:color w:val="000000"/>
          <w:sz w:val="24"/>
          <w:szCs w:val="24"/>
          <w:highlight w:val="yellow"/>
          <w:lang w:val="en-US" w:eastAsia="zh-CN"/>
        </w:rPr>
        <w:t>日17时00分00秒</w:t>
      </w:r>
    </w:p>
    <w:p w14:paraId="12959CF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邮寄地址：山东省济南市章丘区潘王路东园区十一号路北，重汽（济南）轻卡有限公司</w:t>
      </w:r>
    </w:p>
    <w:p w14:paraId="2DC5F1AF">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2026年</w:t>
      </w:r>
      <w:r>
        <w:rPr>
          <w:rFonts w:hint="eastAsia" w:hAnsi="宋体" w:eastAsia="宋体" w:cs="宋体"/>
          <w:bCs/>
          <w:sz w:val="24"/>
          <w:szCs w:val="24"/>
          <w:highlight w:val="yellow"/>
          <w:lang w:val="en-US" w:eastAsia="zh-CN"/>
        </w:rPr>
        <w:t>5</w:t>
      </w:r>
      <w:r>
        <w:rPr>
          <w:rFonts w:hint="eastAsia" w:ascii="宋体" w:hAnsi="宋体" w:eastAsia="宋体" w:cs="宋体"/>
          <w:bCs/>
          <w:sz w:val="24"/>
          <w:szCs w:val="24"/>
          <w:highlight w:val="yellow"/>
        </w:rPr>
        <w:t>月</w:t>
      </w:r>
      <w:r>
        <w:rPr>
          <w:rFonts w:hint="eastAsia" w:hAnsi="宋体" w:eastAsia="宋体" w:cs="宋体"/>
          <w:bCs/>
          <w:sz w:val="24"/>
          <w:szCs w:val="24"/>
          <w:highlight w:val="yellow"/>
          <w:lang w:val="en-US" w:eastAsia="zh-CN"/>
        </w:rPr>
        <w:t>9</w:t>
      </w:r>
      <w:r>
        <w:rPr>
          <w:rFonts w:hint="eastAsia" w:ascii="宋体" w:hAnsi="宋体" w:eastAsia="宋体" w:cs="宋体"/>
          <w:bCs/>
          <w:sz w:val="24"/>
          <w:szCs w:val="24"/>
          <w:highlight w:val="yellow"/>
        </w:rPr>
        <w:t>日上午9:00:00（北京时间）</w:t>
      </w:r>
    </w:p>
    <w:p w14:paraId="33A24519">
      <w:pPr>
        <w:pStyle w:val="17"/>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158"/>
        <w:rPr>
          <w:highlight w:val="none"/>
        </w:rPr>
      </w:pPr>
      <w:r>
        <w:rPr>
          <w:rFonts w:hint="eastAsia"/>
          <w:highlight w:val="none"/>
          <w:lang w:val="en-US" w:eastAsia="zh-CN"/>
        </w:rPr>
        <w:t>开标时间和地点</w:t>
      </w:r>
    </w:p>
    <w:p w14:paraId="560C27C9">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w:t>
      </w:r>
      <w:r>
        <w:rPr>
          <w:rFonts w:hint="eastAsia" w:hAnsi="宋体" w:eastAsia="宋体" w:cs="宋体"/>
          <w:b w:val="0"/>
          <w:bCs w:val="0"/>
          <w:color w:val="000000"/>
          <w:sz w:val="24"/>
          <w:szCs w:val="24"/>
          <w:highlight w:val="yellow"/>
          <w:lang w:val="en-US" w:eastAsia="zh-CN"/>
        </w:rPr>
        <w:t>5</w:t>
      </w:r>
      <w:r>
        <w:rPr>
          <w:rFonts w:hint="eastAsia" w:ascii="宋体" w:hAnsi="宋体" w:eastAsia="宋体" w:cs="宋体"/>
          <w:b w:val="0"/>
          <w:bCs w:val="0"/>
          <w:color w:val="000000"/>
          <w:sz w:val="24"/>
          <w:szCs w:val="24"/>
          <w:highlight w:val="yellow"/>
        </w:rPr>
        <w:t>月</w:t>
      </w:r>
      <w:r>
        <w:rPr>
          <w:rFonts w:hint="eastAsia" w:hAnsi="宋体" w:eastAsia="宋体" w:cs="宋体"/>
          <w:b w:val="0"/>
          <w:bCs w:val="0"/>
          <w:color w:val="000000"/>
          <w:sz w:val="24"/>
          <w:szCs w:val="24"/>
          <w:highlight w:val="yellow"/>
          <w:lang w:val="en-US" w:eastAsia="zh-CN"/>
        </w:rPr>
        <w:t>9</w:t>
      </w:r>
      <w:r>
        <w:rPr>
          <w:rFonts w:hint="eastAsia" w:ascii="宋体" w:hAnsi="宋体" w:eastAsia="宋体" w:cs="宋体"/>
          <w:b w:val="0"/>
          <w:bCs w:val="0"/>
          <w:color w:val="000000"/>
          <w:sz w:val="24"/>
          <w:szCs w:val="24"/>
          <w:highlight w:val="yellow"/>
        </w:rPr>
        <w:t>日9:00:00。</w:t>
      </w:r>
    </w:p>
    <w:p w14:paraId="3BD030B0">
      <w:pPr>
        <w:pStyle w:val="17"/>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158"/>
      </w:pPr>
      <w:bookmarkStart w:id="14" w:name="_Toc47976593"/>
      <w:r>
        <w:rPr>
          <w:rFonts w:hint="eastAsia"/>
        </w:rPr>
        <w:t>招标公告发布媒介</w:t>
      </w:r>
      <w:bookmarkEnd w:id="14"/>
    </w:p>
    <w:p w14:paraId="15C59335">
      <w:pPr>
        <w:pStyle w:val="159"/>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14:paraId="65FC2213">
      <w:pPr>
        <w:pStyle w:val="158"/>
        <w:rPr>
          <w:highlight w:val="none"/>
        </w:rPr>
      </w:pPr>
      <w:bookmarkStart w:id="15" w:name="_Toc47976594"/>
      <w:r>
        <w:rPr>
          <w:rFonts w:hint="eastAsia"/>
          <w:highlight w:val="none"/>
        </w:rPr>
        <w:t>联系方式</w:t>
      </w:r>
      <w:bookmarkEnd w:id="15"/>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乔建华</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15610036410</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qiaojianhua@sinotruk.com</w:t>
      </w:r>
    </w:p>
    <w:p w14:paraId="6D4C3503">
      <w:pPr>
        <w:pStyle w:val="160"/>
      </w:pPr>
    </w:p>
    <w:p w14:paraId="70A7FEA7">
      <w:pPr>
        <w:pStyle w:val="160"/>
        <w:jc w:val="both"/>
        <w:rPr>
          <w:rFonts w:hint="default"/>
          <w:highlight w:val="cyan"/>
          <w:u w:val="single"/>
          <w:lang w:val="en-US" w:eastAsia="zh-CN"/>
        </w:rPr>
      </w:pPr>
    </w:p>
    <w:p w14:paraId="3A7E2D48">
      <w:pPr>
        <w:pStyle w:val="160"/>
        <w:jc w:val="right"/>
        <w:rPr>
          <w:rFonts w:hint="eastAsia"/>
          <w:highlight w:val="cyan"/>
          <w:u w:val="single"/>
          <w:lang w:val="en-US" w:eastAsia="zh-CN"/>
        </w:rPr>
      </w:pPr>
    </w:p>
    <w:p w14:paraId="22C6BEDA">
      <w:pPr>
        <w:pStyle w:val="160"/>
        <w:jc w:val="right"/>
        <w:rPr>
          <w:rFonts w:hint="eastAsia"/>
          <w:highlight w:val="cyan"/>
          <w:u w:val="single"/>
          <w:lang w:val="en-US" w:eastAsia="zh-CN"/>
        </w:rPr>
      </w:pPr>
    </w:p>
    <w:p w14:paraId="410F58AB">
      <w:pPr>
        <w:pStyle w:val="160"/>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02</w:t>
      </w:r>
      <w:r>
        <w:rPr>
          <w:rFonts w:hint="eastAsia"/>
        </w:rPr>
        <w:t>月</w:t>
      </w:r>
      <w:r>
        <w:rPr>
          <w:rFonts w:hint="eastAsia"/>
          <w:u w:val="single"/>
          <w:lang w:val="en-US" w:eastAsia="zh-CN"/>
        </w:rPr>
        <w:t>25</w:t>
      </w:r>
      <w:r>
        <w:rPr>
          <w:rFonts w:hint="eastAsia"/>
        </w:rPr>
        <w:t>日</w:t>
      </w:r>
    </w:p>
    <w:p w14:paraId="04C96706">
      <w:pPr>
        <w:pStyle w:val="160"/>
      </w:pPr>
    </w:p>
    <w:p w14:paraId="58FAC62D">
      <w:pPr>
        <w:pStyle w:val="160"/>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157"/>
      </w:pPr>
      <w:bookmarkStart w:id="16" w:name="_Toc6686"/>
      <w:bookmarkStart w:id="17" w:name="_Toc47976595"/>
      <w:r>
        <w:rPr>
          <w:rFonts w:hint="eastAsia"/>
        </w:rPr>
        <w:t>第一部分  投标人须知</w:t>
      </w:r>
      <w:bookmarkEnd w:id="16"/>
      <w:bookmarkEnd w:id="17"/>
    </w:p>
    <w:p w14:paraId="418340FC">
      <w:pPr>
        <w:pStyle w:val="158"/>
        <w:numPr>
          <w:ilvl w:val="0"/>
          <w:numId w:val="9"/>
        </w:numPr>
        <w:ind w:left="420"/>
        <w:jc w:val="left"/>
      </w:pPr>
      <w:bookmarkStart w:id="18" w:name="_Toc47976596"/>
      <w:r>
        <w:rPr>
          <w:rFonts w:hint="eastAsia"/>
        </w:rPr>
        <w:t>项目介绍</w:t>
      </w:r>
      <w:bookmarkEnd w:id="18"/>
    </w:p>
    <w:p w14:paraId="6360E7CD">
      <w:pPr>
        <w:pStyle w:val="160"/>
        <w:numPr>
          <w:ilvl w:val="0"/>
          <w:numId w:val="10"/>
        </w:numPr>
        <w:ind w:left="425" w:leftChars="0" w:hanging="425" w:firstLineChars="0"/>
        <w:rPr>
          <w:b/>
          <w:bCs/>
          <w:sz w:val="24"/>
          <w:szCs w:val="24"/>
          <w:highlight w:val="none"/>
        </w:rPr>
      </w:pPr>
      <w:r>
        <w:rPr>
          <w:rFonts w:hint="eastAsia"/>
          <w:b/>
          <w:bCs/>
          <w:sz w:val="24"/>
          <w:szCs w:val="24"/>
          <w:highlight w:val="none"/>
        </w:rPr>
        <w:t>项目名称：</w:t>
      </w:r>
      <w:r>
        <w:rPr>
          <w:rFonts w:hint="eastAsia"/>
          <w:b/>
          <w:bCs/>
          <w:sz w:val="28"/>
          <w:szCs w:val="28"/>
          <w:highlight w:val="yellow"/>
        </w:rPr>
        <w:t>新能源轻卡怀挡车型改造项目-焊装线改造项目</w:t>
      </w:r>
    </w:p>
    <w:p w14:paraId="17A97EAA">
      <w:pPr>
        <w:pStyle w:val="160"/>
        <w:numPr>
          <w:ilvl w:val="0"/>
          <w:numId w:val="10"/>
        </w:numPr>
        <w:ind w:left="425" w:leftChars="0" w:hanging="425" w:firstLineChars="0"/>
        <w:rPr>
          <w:b/>
          <w:bCs/>
          <w:sz w:val="24"/>
          <w:szCs w:val="24"/>
          <w:highlight w:val="none"/>
        </w:rPr>
      </w:pPr>
      <w:r>
        <w:rPr>
          <w:rFonts w:hint="eastAsia"/>
          <w:b/>
          <w:bCs/>
          <w:sz w:val="24"/>
          <w:szCs w:val="24"/>
          <w:highlight w:val="none"/>
        </w:rPr>
        <w:t>项目编号：</w:t>
      </w:r>
      <w:r>
        <w:rPr>
          <w:rFonts w:hint="eastAsia" w:ascii="宋体"/>
          <w:b/>
          <w:bCs/>
          <w:sz w:val="28"/>
          <w:szCs w:val="28"/>
          <w:highlight w:val="yellow"/>
        </w:rPr>
        <w:t>ZBGL2026020231</w:t>
      </w:r>
    </w:p>
    <w:p w14:paraId="5C6CF568">
      <w:pPr>
        <w:pStyle w:val="160"/>
        <w:numPr>
          <w:ilvl w:val="0"/>
          <w:numId w:val="10"/>
        </w:numPr>
        <w:ind w:left="425" w:leftChars="0" w:hanging="425" w:firstLineChars="0"/>
        <w:rPr>
          <w:b/>
          <w:bCs/>
          <w:sz w:val="24"/>
          <w:szCs w:val="24"/>
          <w:highlight w:val="none"/>
        </w:rPr>
      </w:pPr>
      <w:r>
        <w:rPr>
          <w:rFonts w:hint="eastAsia"/>
          <w:b/>
          <w:bCs/>
          <w:sz w:val="24"/>
          <w:szCs w:val="24"/>
          <w:highlight w:val="none"/>
        </w:rPr>
        <w:t>招标形式：</w:t>
      </w:r>
      <w:bookmarkStart w:id="19" w:name="_Toc47112482"/>
      <w:r>
        <w:rPr>
          <w:rFonts w:hint="eastAsia" w:ascii="宋体" w:hAnsi="宋体" w:eastAsia="宋体" w:cs="宋体"/>
          <w:b/>
          <w:bCs/>
          <w:sz w:val="24"/>
          <w:szCs w:val="24"/>
          <w:highlight w:val="none"/>
          <w:lang w:val="en-US" w:eastAsia="zh-CN"/>
        </w:rPr>
        <w:t>公开招标</w:t>
      </w:r>
    </w:p>
    <w:p w14:paraId="742B3A80">
      <w:pPr>
        <w:pStyle w:val="160"/>
        <w:numPr>
          <w:ilvl w:val="0"/>
          <w:numId w:val="10"/>
        </w:numPr>
        <w:ind w:left="425" w:leftChars="0" w:hanging="425" w:firstLineChars="0"/>
        <w:rPr>
          <w:b/>
          <w:bCs/>
          <w:sz w:val="24"/>
          <w:szCs w:val="24"/>
          <w:highlight w:val="none"/>
        </w:rPr>
      </w:pPr>
      <w:r>
        <w:rPr>
          <w:rFonts w:hint="eastAsia"/>
          <w:b/>
          <w:bCs/>
          <w:sz w:val="24"/>
          <w:szCs w:val="24"/>
          <w:highlight w:val="none"/>
          <w:lang w:val="en-US" w:eastAsia="zh-CN"/>
        </w:rPr>
        <w:t>项目概况：</w:t>
      </w:r>
      <w:r>
        <w:rPr>
          <w:rFonts w:hint="eastAsia" w:ascii="宋体"/>
          <w:b/>
          <w:bCs/>
          <w:sz w:val="28"/>
          <w:szCs w:val="28"/>
          <w:highlight w:val="yellow"/>
          <w:lang w:val="en-US" w:eastAsia="zh-CN"/>
        </w:rPr>
        <w:t>对手工焊夹具进行新增、改制，并对焊装线进行适应性改造。</w:t>
      </w:r>
    </w:p>
    <w:p w14:paraId="151561C8">
      <w:pPr>
        <w:pStyle w:val="160"/>
        <w:numPr>
          <w:ilvl w:val="0"/>
          <w:numId w:val="10"/>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160"/>
        <w:numPr>
          <w:ilvl w:val="0"/>
          <w:numId w:val="10"/>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160"/>
        <w:numPr>
          <w:ilvl w:val="0"/>
          <w:numId w:val="10"/>
        </w:numPr>
        <w:ind w:left="425" w:leftChars="0" w:hanging="425" w:firstLineChars="0"/>
        <w:rPr>
          <w:rFonts w:hint="eastAsia"/>
          <w:b/>
          <w:bCs/>
          <w:sz w:val="24"/>
          <w:szCs w:val="24"/>
          <w:highlight w:val="none"/>
          <w:lang w:val="en-US" w:eastAsia="zh-CN"/>
        </w:rPr>
      </w:pPr>
      <w:r>
        <w:rPr>
          <w:rFonts w:hint="eastAsia"/>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bookmarkEnd w:id="19"/>
    <w:p w14:paraId="49FC2DC4">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bookmarkStart w:id="20" w:name="_Toc47976598"/>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乔建华</w:t>
      </w:r>
    </w:p>
    <w:p w14:paraId="34047AD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15610036410</w:t>
      </w:r>
    </w:p>
    <w:p w14:paraId="005741C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qiaojianhua@sinotruk.com</w:t>
      </w:r>
    </w:p>
    <w:p w14:paraId="50DC6C75">
      <w:pPr>
        <w:pStyle w:val="158"/>
      </w:pPr>
      <w:r>
        <w:rPr>
          <w:rFonts w:hint="eastAsia"/>
        </w:rPr>
        <w:t>合格的投标人。</w:t>
      </w:r>
      <w:bookmarkEnd w:id="20"/>
    </w:p>
    <w:p w14:paraId="4A1CBD20">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投标人须遵守《中华人民共和国招标投标法》及其它有关的法律和法规；为中华人民共和国境内注册的独立法人机构，具有独立承担民事责任能力；</w:t>
      </w:r>
    </w:p>
    <w:p w14:paraId="0901FF15">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拟标投人必须是在中华人民共和国境内注册的独立法人机构，具有独立承担民事责任能力；注册资金不少于</w:t>
      </w:r>
      <w:r>
        <w:rPr>
          <w:rFonts w:hint="eastAsia"/>
          <w:b w:val="0"/>
          <w:bCs/>
          <w:sz w:val="21"/>
          <w:szCs w:val="21"/>
          <w:highlight w:val="none"/>
          <w:u w:val="single"/>
          <w:lang w:val="en-US" w:eastAsia="zh-CN"/>
        </w:rPr>
        <w:t xml:space="preserve"> 500</w:t>
      </w:r>
      <w:r>
        <w:rPr>
          <w:rFonts w:hint="eastAsia"/>
          <w:b w:val="0"/>
          <w:bCs/>
          <w:sz w:val="21"/>
          <w:szCs w:val="21"/>
          <w:highlight w:val="none"/>
          <w:lang w:val="en-US" w:eastAsia="zh-CN"/>
        </w:rPr>
        <w:t>万人民币（或等值其他货币）；公司成立</w:t>
      </w:r>
      <w:r>
        <w:rPr>
          <w:rFonts w:hint="eastAsia"/>
          <w:b w:val="0"/>
          <w:bCs/>
          <w:sz w:val="21"/>
          <w:szCs w:val="21"/>
          <w:highlight w:val="none"/>
          <w:u w:val="single"/>
          <w:lang w:val="en-US" w:eastAsia="zh-CN"/>
        </w:rPr>
        <w:t xml:space="preserve">  3  </w:t>
      </w:r>
      <w:r>
        <w:rPr>
          <w:rFonts w:hint="eastAsia"/>
          <w:b w:val="0"/>
          <w:bCs/>
          <w:sz w:val="21"/>
          <w:szCs w:val="21"/>
          <w:highlight w:val="none"/>
          <w:lang w:val="en-US" w:eastAsia="zh-CN"/>
        </w:rPr>
        <w:t>年以上（以营业执照成立日期到开标当日满 3 年为准），且经营范围满足招标人需求；并在人员、设备、资金等方面具有承担本项目的能力，且满足技术、质量、资金等要求；</w:t>
      </w:r>
    </w:p>
    <w:p w14:paraId="0E3E3C45">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14:paraId="1AF832A0">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拟投标人在“国家企业信用信息公示系统”、“中国执行信息公开网”、“信用中国”、“天眼查”“裁判文书网”等信息平台中，无行政处罚及失信记录等信息；</w:t>
      </w:r>
    </w:p>
    <w:p w14:paraId="431B875B">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无招标违规、谎报年度报告信息、提供虚假资质资料等行为或其他行政处罚记录；</w:t>
      </w:r>
    </w:p>
    <w:p w14:paraId="685B42A4">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近三年内在经营活动中无与本项目有关的违法及重大违规情况；</w:t>
      </w:r>
    </w:p>
    <w:p w14:paraId="74DB7C6F">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投标人没有被列入招标人处《黑名单》（《黑名单》指投标人与招标人在以往或正在进行的合作中，存在招标人认为的违反合同约定或违反法律法规等的失信行为）的声明；</w:t>
      </w:r>
    </w:p>
    <w:p w14:paraId="172CFAA3">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公司经营范围满足招标项目需求；</w:t>
      </w:r>
    </w:p>
    <w:p w14:paraId="3148471E">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投标人须具有履行招标文件所有设备、专业技术等要求的能力；</w:t>
      </w:r>
    </w:p>
    <w:p w14:paraId="12EA418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投标人须有依法缴纳税收和社会保障资金的良好记录；</w:t>
      </w:r>
    </w:p>
    <w:p w14:paraId="7EC679C8">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具有本次招标货物的供货、安装、售后服务等的相应资质；</w:t>
      </w:r>
    </w:p>
    <w:p w14:paraId="310B14D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投标人须负责提供合理的便于运输的包装物，并承担相关费用；</w:t>
      </w:r>
    </w:p>
    <w:p w14:paraId="7925A6E3">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投标人须认可招标人的工作指令，包括节、假日能正常开展工作的要求。</w:t>
      </w:r>
    </w:p>
    <w:p w14:paraId="72FD8E4E">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拟投标人的直接或间接股东、法定代表人、董事、监事、高管非重汽员工及其亲属；</w:t>
      </w:r>
    </w:p>
    <w:p w14:paraId="0215F1A8">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投标人必须是最终投标、签订合同的单位，不得以任何理由将已中标项目以任何形式转包或者分包给其他单位；</w:t>
      </w:r>
    </w:p>
    <w:p w14:paraId="5A2CFA9A">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本次招标项目不接受联合体投标，不允许代理商参标；</w:t>
      </w:r>
    </w:p>
    <w:p w14:paraId="5C2B0709">
      <w:pPr>
        <w:pStyle w:val="159"/>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法律、行政法规规定的其他条件；</w:t>
      </w:r>
    </w:p>
    <w:p w14:paraId="31CA8C38">
      <w:pPr>
        <w:pStyle w:val="158"/>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160"/>
        <w:numPr>
          <w:ilvl w:val="0"/>
          <w:numId w:val="12"/>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2</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日</w:t>
      </w:r>
    </w:p>
    <w:p w14:paraId="3E83CBE4">
      <w:pPr>
        <w:pStyle w:val="160"/>
        <w:numPr>
          <w:ilvl w:val="0"/>
          <w:numId w:val="12"/>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160"/>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160"/>
        <w:ind w:firstLine="211" w:firstLineChars="100"/>
        <w:jc w:val="both"/>
        <w:rPr>
          <w:rFonts w:hint="default"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领取截止时间：</w:t>
      </w:r>
      <w:r>
        <w:rPr>
          <w:rFonts w:hint="eastAsia" w:ascii="宋体" w:eastAsia="宋体" w:cs="Times New Roman"/>
          <w:sz w:val="21"/>
          <w:szCs w:val="21"/>
          <w:highlight w:val="yellow"/>
        </w:rPr>
        <w:t>2026年</w:t>
      </w:r>
      <w:r>
        <w:rPr>
          <w:rFonts w:hint="eastAsia" w:eastAsia="宋体" w:cs="Times New Roman"/>
          <w:sz w:val="21"/>
          <w:szCs w:val="21"/>
          <w:highlight w:val="yellow"/>
          <w:lang w:val="en-US" w:eastAsia="zh-CN"/>
        </w:rPr>
        <w:t>4</w:t>
      </w:r>
      <w:r>
        <w:rPr>
          <w:rFonts w:hint="eastAsia" w:ascii="宋体" w:eastAsia="宋体" w:cs="Times New Roman"/>
          <w:sz w:val="21"/>
          <w:szCs w:val="21"/>
          <w:highlight w:val="yellow"/>
        </w:rPr>
        <w:t>月</w:t>
      </w:r>
      <w:r>
        <w:rPr>
          <w:rFonts w:hint="eastAsia" w:eastAsia="宋体" w:cs="Times New Roman"/>
          <w:sz w:val="21"/>
          <w:szCs w:val="21"/>
          <w:highlight w:val="yellow"/>
          <w:lang w:val="en-US" w:eastAsia="zh-CN"/>
        </w:rPr>
        <w:t>29</w:t>
      </w:r>
      <w:r>
        <w:rPr>
          <w:rFonts w:hint="eastAsia" w:ascii="宋体" w:eastAsia="宋体" w:cs="Times New Roman"/>
          <w:sz w:val="21"/>
          <w:szCs w:val="21"/>
          <w:highlight w:val="yellow"/>
        </w:rPr>
        <w:t>日</w:t>
      </w:r>
    </w:p>
    <w:p w14:paraId="62084E4B">
      <w:pPr>
        <w:pStyle w:val="160"/>
        <w:numPr>
          <w:ilvl w:val="0"/>
          <w:numId w:val="12"/>
        </w:numPr>
        <w:ind w:left="425" w:leftChars="0" w:hanging="425" w:firstLineChars="0"/>
        <w:jc w:val="both"/>
        <w:rPr>
          <w:rFonts w:hint="eastAsia" w:ascii="宋体" w:hAnsi="Courier New" w:eastAsia="宋体" w:cs="Times New Roman"/>
          <w:b w:val="0"/>
          <w:bCs w:val="0"/>
          <w:sz w:val="21"/>
          <w:szCs w:val="21"/>
          <w:highlight w:val="yellow"/>
          <w:lang w:val="en-US" w:eastAsia="zh-CN"/>
        </w:rPr>
      </w:pPr>
      <w:r>
        <w:rPr>
          <w:rFonts w:hint="eastAsia" w:ascii="宋体" w:hAnsi="Courier New" w:eastAsia="宋体" w:cs="Times New Roman"/>
          <w:b/>
          <w:bCs/>
          <w:sz w:val="21"/>
          <w:szCs w:val="21"/>
          <w:highlight w:val="yellow"/>
          <w:lang w:val="en-US" w:eastAsia="zh-CN"/>
        </w:rPr>
        <w:t>答疑时间：</w:t>
      </w:r>
      <w:r>
        <w:rPr>
          <w:rFonts w:hint="eastAsia" w:ascii="宋体" w:hAnsi="Courier New" w:eastAsia="宋体" w:cs="Times New Roman"/>
          <w:sz w:val="21"/>
          <w:szCs w:val="21"/>
          <w:highlight w:val="yellow"/>
          <w:lang w:val="en-US" w:eastAsia="zh-CN"/>
        </w:rPr>
        <w:t>2026年4月</w:t>
      </w:r>
      <w:r>
        <w:rPr>
          <w:rFonts w:hint="eastAsia" w:eastAsia="宋体" w:cs="Times New Roman"/>
          <w:sz w:val="21"/>
          <w:szCs w:val="21"/>
          <w:highlight w:val="yellow"/>
          <w:lang w:val="en-US" w:eastAsia="zh-CN"/>
        </w:rPr>
        <w:t>29</w:t>
      </w:r>
      <w:r>
        <w:rPr>
          <w:rFonts w:hint="eastAsia" w:ascii="宋体" w:hAnsi="Courier New" w:eastAsia="宋体" w:cs="Times New Roman"/>
          <w:sz w:val="21"/>
          <w:szCs w:val="21"/>
          <w:highlight w:val="yellow"/>
          <w:lang w:val="en-US" w:eastAsia="zh-CN"/>
        </w:rPr>
        <w:t>日17:00前</w:t>
      </w:r>
    </w:p>
    <w:p w14:paraId="62CB87C4">
      <w:pPr>
        <w:pStyle w:val="160"/>
        <w:numPr>
          <w:ilvl w:val="0"/>
          <w:numId w:val="12"/>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14:paraId="24D6AE88">
      <w:pPr>
        <w:pStyle w:val="160"/>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160"/>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2026年4月</w:t>
      </w:r>
      <w:r>
        <w:rPr>
          <w:rFonts w:hint="eastAsia" w:eastAsia="宋体" w:cs="Times New Roman"/>
          <w:sz w:val="21"/>
          <w:szCs w:val="21"/>
          <w:highlight w:val="yellow"/>
          <w:lang w:val="en-US" w:eastAsia="zh-CN"/>
        </w:rPr>
        <w:t>29</w:t>
      </w:r>
      <w:r>
        <w:rPr>
          <w:rFonts w:hint="eastAsia" w:ascii="宋体" w:eastAsia="宋体" w:cs="Times New Roman"/>
          <w:sz w:val="21"/>
          <w:szCs w:val="21"/>
          <w:highlight w:val="yellow"/>
        </w:rPr>
        <w:t>日12:00前</w:t>
      </w:r>
    </w:p>
    <w:p w14:paraId="1EF2B1F6">
      <w:pPr>
        <w:pStyle w:val="160"/>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160"/>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160"/>
        <w:numPr>
          <w:ilvl w:val="0"/>
          <w:numId w:val="12"/>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2026年4月</w:t>
      </w:r>
      <w:r>
        <w:rPr>
          <w:rFonts w:hint="eastAsia" w:eastAsia="宋体" w:cs="Times New Roman"/>
          <w:sz w:val="21"/>
          <w:szCs w:val="21"/>
          <w:highlight w:val="yellow"/>
          <w:lang w:val="en-US" w:eastAsia="zh-CN"/>
        </w:rPr>
        <w:t>29</w:t>
      </w:r>
      <w:r>
        <w:rPr>
          <w:rFonts w:hint="eastAsia" w:ascii="宋体" w:hAnsi="Courier New" w:eastAsia="宋体" w:cs="Times New Roman"/>
          <w:sz w:val="21"/>
          <w:szCs w:val="21"/>
          <w:highlight w:val="yellow"/>
          <w:lang w:val="en-US" w:eastAsia="zh-CN"/>
        </w:rPr>
        <w:t>日17:00前</w:t>
      </w:r>
    </w:p>
    <w:p w14:paraId="59AC1516">
      <w:pPr>
        <w:pStyle w:val="160"/>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160"/>
        <w:numPr>
          <w:ilvl w:val="0"/>
          <w:numId w:val="12"/>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9"/>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w:t>
      </w:r>
      <w:r>
        <w:rPr>
          <w:rFonts w:hint="eastAsia" w:eastAsia="宋体" w:cs="宋体"/>
          <w:b/>
          <w:bCs/>
          <w:sz w:val="21"/>
          <w:szCs w:val="21"/>
          <w:lang w:val="en-US" w:eastAsia="zh-CN"/>
        </w:rPr>
        <w:t>16</w:t>
      </w:r>
      <w:r>
        <w:rPr>
          <w:rFonts w:hint="eastAsia" w:ascii="宋体" w:hAnsi="宋体" w:eastAsia="宋体" w:cs="宋体"/>
          <w:b/>
          <w:bCs/>
          <w:sz w:val="21"/>
          <w:szCs w:val="21"/>
        </w:rPr>
        <w:t>）进行注册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w:t>
      </w:r>
      <w:r>
        <w:rPr>
          <w:rFonts w:hint="eastAsia" w:eastAsia="宋体" w:cs="宋体"/>
          <w:b/>
          <w:sz w:val="21"/>
          <w:szCs w:val="21"/>
          <w:lang w:val="en-US" w:eastAsia="zh-CN"/>
        </w:rPr>
        <w:t>7</w:t>
      </w:r>
      <w:r>
        <w:rPr>
          <w:rFonts w:hint="eastAsia" w:ascii="宋体" w:hAnsi="宋体" w:eastAsia="宋体" w:cs="宋体"/>
          <w:b/>
          <w:sz w:val="21"/>
          <w:szCs w:val="21"/>
        </w:rPr>
        <w:t>）”，</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9"/>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9"/>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16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160"/>
        <w:numPr>
          <w:ilvl w:val="0"/>
          <w:numId w:val="12"/>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14:paraId="0131723F">
      <w:pPr>
        <w:pStyle w:val="119"/>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2026年4月</w:t>
      </w:r>
      <w:r>
        <w:rPr>
          <w:rFonts w:hint="eastAsia" w:eastAsia="宋体" w:cs="宋体"/>
          <w:bCs/>
          <w:sz w:val="21"/>
          <w:szCs w:val="21"/>
          <w:highlight w:val="yellow"/>
          <w:lang w:val="en-US" w:eastAsia="zh-CN"/>
        </w:rPr>
        <w:t>28</w:t>
      </w:r>
      <w:r>
        <w:rPr>
          <w:rFonts w:hint="eastAsia" w:ascii="宋体" w:hAnsi="宋体" w:eastAsia="宋体" w:cs="宋体"/>
          <w:bCs/>
          <w:sz w:val="21"/>
          <w:szCs w:val="21"/>
          <w:highlight w:val="yellow"/>
        </w:rPr>
        <w:t>日17时00分00秒</w:t>
      </w:r>
    </w:p>
    <w:p w14:paraId="73A7FB78">
      <w:pPr>
        <w:pStyle w:val="160"/>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158"/>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159"/>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159"/>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14:paraId="13BAC003">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法定代表人身份证明；</w:t>
      </w:r>
    </w:p>
    <w:p w14:paraId="4DBDF119">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法定代表人授权委托书（授权人需带身份证原件）；</w:t>
      </w:r>
    </w:p>
    <w:p w14:paraId="73FE5F95">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营业执照副本原件</w:t>
      </w:r>
      <w:r>
        <w:rPr>
          <w:rFonts w:hint="eastAsia" w:ascii="宋体" w:hAnsi="宋体" w:eastAsia="宋体" w:cs="宋体"/>
          <w:b w:val="0"/>
          <w:bCs/>
          <w:highlight w:val="yellow"/>
          <w:lang w:val="en-US" w:eastAsia="zh-CN"/>
        </w:rPr>
        <w:t>或复印件并加盖公章</w:t>
      </w:r>
      <w:r>
        <w:rPr>
          <w:rFonts w:hint="eastAsia" w:ascii="宋体" w:hAnsi="宋体" w:eastAsia="宋体" w:cs="宋体"/>
          <w:b w:val="0"/>
          <w:bCs/>
          <w:highlight w:val="yellow"/>
        </w:rPr>
        <w:t>；</w:t>
      </w:r>
    </w:p>
    <w:p w14:paraId="64598C8A">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投标函（附件1）；</w:t>
      </w:r>
    </w:p>
    <w:p w14:paraId="440F9E5B">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14:paraId="6A7B69C9">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2022年1月1日至今，企业近三年同类项目业绩证明，须提供用户清单、采购合同复印件；</w:t>
      </w:r>
    </w:p>
    <w:p w14:paraId="2E43C7FD">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近三年内在经营活动中无与本项目有关的违法及重大违规行为的声明；</w:t>
      </w:r>
    </w:p>
    <w:p w14:paraId="48D2A718">
      <w:pPr>
        <w:pStyle w:val="162"/>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yellow"/>
        </w:rPr>
      </w:pPr>
      <w:r>
        <w:rPr>
          <w:rFonts w:hint="eastAsia" w:ascii="宋体" w:hAnsi="宋体" w:eastAsia="宋体" w:cs="宋体"/>
          <w:b w:val="0"/>
          <w:bCs/>
          <w:highlight w:val="yellow"/>
        </w:rPr>
        <w:t>投标人在国家企业信用信息公示系统中无与本项目有关的行政处罚、经营异常和失信信息的声明；（附投标当日系统内相关截图或报告）</w:t>
      </w:r>
    </w:p>
    <w:p w14:paraId="7CB7B902">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企业信用证明材料（征信中心出具的信用报告）；</w:t>
      </w:r>
    </w:p>
    <w:p w14:paraId="2F1917FF">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企业最近半年完税证明</w:t>
      </w:r>
      <w:r>
        <w:rPr>
          <w:rFonts w:hint="eastAsia" w:ascii="宋体" w:hAnsi="宋体" w:eastAsia="宋体" w:cs="宋体"/>
          <w:b w:val="0"/>
          <w:bCs/>
          <w:highlight w:val="yellow"/>
          <w:lang w:eastAsia="zh-CN"/>
        </w:rPr>
        <w:t>，</w:t>
      </w:r>
      <w:r>
        <w:rPr>
          <w:rFonts w:hint="eastAsia" w:ascii="宋体" w:hAnsi="宋体" w:eastAsia="宋体" w:cs="宋体"/>
          <w:b w:val="0"/>
          <w:bCs/>
          <w:highlight w:val="yellow"/>
          <w:lang w:val="en-US" w:eastAsia="zh-CN"/>
        </w:rPr>
        <w:t>并附</w:t>
      </w:r>
      <w:r>
        <w:rPr>
          <w:rFonts w:hint="eastAsia" w:ascii="宋体" w:hAnsi="宋体" w:eastAsia="宋体" w:cs="宋体"/>
          <w:b w:val="0"/>
          <w:bCs/>
          <w:highlight w:val="yellow"/>
        </w:rPr>
        <w:t>年度纳税信用评价信息（可从电子税务局查询截图，需加盖公章）；</w:t>
      </w:r>
    </w:p>
    <w:p w14:paraId="66CC3FFB">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企业对外担保说明（写明贵单位对外有无对外担保和质押业务，需加盖公章）。</w:t>
      </w:r>
    </w:p>
    <w:p w14:paraId="177BD7B8">
      <w:pPr>
        <w:pStyle w:val="162"/>
        <w:numPr>
          <w:ilvl w:val="0"/>
          <w:numId w:val="15"/>
        </w:numPr>
        <w:ind w:left="425" w:leftChars="0" w:hanging="425" w:firstLineChars="0"/>
        <w:rPr>
          <w:rFonts w:hint="eastAsia" w:ascii="宋体" w:hAnsi="宋体" w:eastAsia="宋体" w:cs="宋体"/>
          <w:b w:val="0"/>
          <w:bCs/>
          <w:highlight w:val="yellow"/>
        </w:rPr>
      </w:pPr>
      <w:r>
        <w:rPr>
          <w:rFonts w:hint="eastAsia" w:ascii="宋体" w:hAnsi="宋体" w:eastAsia="宋体" w:cs="宋体"/>
          <w:b w:val="0"/>
          <w:bCs/>
          <w:highlight w:val="yellow"/>
        </w:rPr>
        <w:t>保密承诺函（附件4）；</w:t>
      </w:r>
    </w:p>
    <w:p w14:paraId="170B48B4">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14:paraId="658F5222">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14:paraId="76A5AD45">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14:paraId="39B4FD7F">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14:paraId="6E11CA39">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14:paraId="53557C77">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14:paraId="67772FFE">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14:paraId="00A299A2">
      <w:pPr>
        <w:pStyle w:val="162"/>
        <w:numPr>
          <w:ilvl w:val="0"/>
          <w:numId w:val="15"/>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投标保证金缴纳凭证，同时正文描述付款账号、户名、开户行名称、开户行行号、保证金金额。</w:t>
      </w:r>
    </w:p>
    <w:p w14:paraId="0FCAA68A">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14:paraId="35D922EF">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14:paraId="7CB8DE54">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14:paraId="1058197F">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16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14:paraId="5D2BBFAC">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14:paraId="6E70AD99">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14:paraId="01FC52A9">
      <w:pPr>
        <w:pStyle w:val="162"/>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162"/>
        <w:numPr>
          <w:ilvl w:val="0"/>
          <w:numId w:val="17"/>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161"/>
        <w:numPr>
          <w:ilvl w:val="0"/>
          <w:numId w:val="14"/>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14:paraId="1FEC8CF2">
      <w:pPr>
        <w:pStyle w:val="162"/>
        <w:keepNext w:val="0"/>
        <w:keepLines w:val="0"/>
        <w:pageBreakBefore w:val="0"/>
        <w:widowControl w:val="0"/>
        <w:numPr>
          <w:ilvl w:val="0"/>
          <w:numId w:val="18"/>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14:paraId="0DFA5CBE">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14:paraId="647E2259">
      <w:pPr>
        <w:pStyle w:val="162"/>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14:paraId="5C36F232">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14:paraId="365CA05E">
      <w:pPr>
        <w:pStyle w:val="162"/>
        <w:numPr>
          <w:ilvl w:val="0"/>
          <w:numId w:val="18"/>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14:paraId="0BD75519">
      <w:pPr>
        <w:pStyle w:val="162"/>
        <w:numPr>
          <w:ilvl w:val="0"/>
          <w:numId w:val="18"/>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14:paraId="6D87D854">
      <w:pPr>
        <w:pStyle w:val="162"/>
        <w:numPr>
          <w:ilvl w:val="0"/>
          <w:numId w:val="18"/>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商务报价注意内容：</w:t>
      </w:r>
      <w:r>
        <w:rPr>
          <w:rFonts w:hint="eastAsia" w:ascii="宋体" w:hAnsi="宋体" w:eastAsia="宋体" w:cs="宋体"/>
          <w:b w:val="0"/>
          <w:bCs/>
          <w:highlight w:val="none"/>
        </w:rPr>
        <w:t>最高投标限价（招标控制价）：</w:t>
      </w:r>
      <w:r>
        <w:rPr>
          <w:rFonts w:hint="eastAsia" w:ascii="宋体" w:hAnsi="宋体" w:eastAsia="宋体" w:cs="宋体"/>
          <w:b w:val="0"/>
          <w:bCs/>
          <w:highlight w:val="yellow"/>
        </w:rPr>
        <w:t>人民币</w:t>
      </w:r>
      <w:r>
        <w:rPr>
          <w:rFonts w:hint="eastAsia" w:ascii="宋体" w:hAnsi="宋体" w:eastAsia="宋体" w:cs="宋体"/>
          <w:b w:val="0"/>
          <w:bCs/>
          <w:highlight w:val="yellow"/>
          <w:u w:val="single"/>
          <w:lang w:val="en-US" w:eastAsia="zh-CN"/>
        </w:rPr>
        <w:t xml:space="preserve">  15  </w:t>
      </w:r>
      <w:r>
        <w:rPr>
          <w:rFonts w:hint="eastAsia" w:ascii="宋体" w:hAnsi="宋体" w:eastAsia="宋体" w:cs="宋体"/>
          <w:b w:val="0"/>
          <w:bCs/>
          <w:highlight w:val="yellow"/>
        </w:rPr>
        <w:t>万元（含</w:t>
      </w:r>
      <w:r>
        <w:rPr>
          <w:rFonts w:hint="eastAsia" w:ascii="宋体" w:hAnsi="宋体" w:eastAsia="宋体" w:cs="宋体"/>
          <w:b w:val="0"/>
          <w:bCs/>
          <w:highlight w:val="yellow"/>
          <w:u w:val="single"/>
          <w:lang w:val="en-US" w:eastAsia="zh-CN"/>
        </w:rPr>
        <w:t>13</w:t>
      </w:r>
      <w:r>
        <w:rPr>
          <w:rFonts w:hint="eastAsia" w:ascii="宋体" w:hAnsi="宋体" w:eastAsia="宋体" w:cs="宋体"/>
          <w:b w:val="0"/>
          <w:bCs/>
          <w:highlight w:val="yellow"/>
        </w:rPr>
        <w:t>%增值税）</w:t>
      </w:r>
      <w:r>
        <w:rPr>
          <w:rFonts w:hint="eastAsia" w:ascii="宋体" w:hAnsi="宋体" w:eastAsia="宋体" w:cs="宋体"/>
          <w:b w:val="0"/>
          <w:bCs/>
          <w:highlight w:val="none"/>
        </w:rPr>
        <w:t>，超过投标限价无法投标。</w:t>
      </w:r>
    </w:p>
    <w:p w14:paraId="70E2A45F">
      <w:pPr>
        <w:pStyle w:val="159"/>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162"/>
        <w:numPr>
          <w:ilvl w:val="0"/>
          <w:numId w:val="19"/>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16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162"/>
        <w:numPr>
          <w:ilvl w:val="0"/>
          <w:numId w:val="19"/>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山东省济南市章丘区潘王路东园区十一号路北，重汽（济南）轻卡有限公司</w:t>
      </w:r>
    </w:p>
    <w:p w14:paraId="2079F016">
      <w:pPr>
        <w:pStyle w:val="162"/>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162"/>
        <w:numPr>
          <w:ilvl w:val="0"/>
          <w:numId w:val="19"/>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eastAsia="宋体" w:cs="Times New Roman"/>
          <w:b w:val="0"/>
          <w:bCs/>
          <w:highlight w:val="yellow"/>
          <w:lang w:val="en-US" w:eastAsia="zh-CN"/>
        </w:rPr>
        <w:t>5</w:t>
      </w:r>
      <w:r>
        <w:rPr>
          <w:rFonts w:hint="eastAsia" w:ascii="宋体" w:hAnsi="Courier New" w:eastAsia="宋体" w:cs="Times New Roman"/>
          <w:b w:val="0"/>
          <w:bCs/>
          <w:highlight w:val="yellow"/>
          <w:lang w:val="en-US" w:eastAsia="zh-CN"/>
        </w:rPr>
        <w:t>月</w:t>
      </w:r>
      <w:r>
        <w:rPr>
          <w:rFonts w:hint="eastAsia" w:eastAsia="宋体" w:cs="Times New Roman"/>
          <w:b w:val="0"/>
          <w:bCs/>
          <w:highlight w:val="yellow"/>
          <w:lang w:val="en-US" w:eastAsia="zh-CN"/>
        </w:rPr>
        <w:t>9</w:t>
      </w:r>
      <w:r>
        <w:rPr>
          <w:rFonts w:hint="eastAsia" w:ascii="宋体" w:hAnsi="Courier New" w:eastAsia="宋体" w:cs="Times New Roman"/>
          <w:b w:val="0"/>
          <w:bCs/>
          <w:highlight w:val="yellow"/>
          <w:lang w:val="en-US" w:eastAsia="zh-CN"/>
        </w:rPr>
        <w:t>日上午9:00:00</w:t>
      </w:r>
    </w:p>
    <w:p w14:paraId="7C4A86A7">
      <w:pPr>
        <w:pStyle w:val="162"/>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16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16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16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158"/>
        <w:rPr>
          <w:rFonts w:hint="eastAsia" w:hAnsi="Courier New" w:cs="Times New Roman"/>
          <w:highlight w:val="none"/>
        </w:rPr>
      </w:pPr>
      <w:bookmarkStart w:id="2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158"/>
        <w:numPr>
          <w:ilvl w:val="0"/>
          <w:numId w:val="2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158"/>
        <w:numPr>
          <w:ilvl w:val="0"/>
          <w:numId w:val="21"/>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158"/>
        <w:numPr>
          <w:ilvl w:val="0"/>
          <w:numId w:val="21"/>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投标保证金的金额：</w:t>
      </w:r>
      <w:r>
        <w:rPr>
          <w:rFonts w:hint="eastAsia" w:ascii="宋体" w:hAnsi="宋体" w:eastAsia="宋体" w:cs="宋体"/>
          <w:b/>
          <w:bCs/>
          <w:sz w:val="21"/>
          <w:szCs w:val="21"/>
          <w:highlight w:val="yellow"/>
        </w:rPr>
        <w:t>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yellow"/>
        </w:rPr>
        <w:t>元</w:t>
      </w:r>
    </w:p>
    <w:p w14:paraId="2F610038">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158"/>
        <w:numPr>
          <w:ilvl w:val="0"/>
          <w:numId w:val="21"/>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yellow"/>
        </w:rPr>
        <w:t>保证金缴纳截止时间：2026年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28</w:t>
      </w:r>
      <w:r>
        <w:rPr>
          <w:rFonts w:hint="eastAsia" w:ascii="宋体" w:hAnsi="宋体" w:eastAsia="宋体" w:cs="宋体"/>
          <w:b w:val="0"/>
          <w:bCs w:val="0"/>
          <w:sz w:val="21"/>
          <w:szCs w:val="21"/>
          <w:highlight w:val="yellow"/>
        </w:rPr>
        <w:t>日17:00（同应标截止时间）</w:t>
      </w:r>
    </w:p>
    <w:p w14:paraId="7486A087">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158"/>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21"/>
    <w:p w14:paraId="368B6990">
      <w:pPr>
        <w:pStyle w:val="158"/>
      </w:pPr>
      <w:r>
        <w:rPr>
          <w:rFonts w:hint="eastAsia"/>
          <w:lang w:val="en-US" w:eastAsia="zh-CN"/>
        </w:rPr>
        <w:t>开评标</w:t>
      </w:r>
    </w:p>
    <w:p w14:paraId="009655B5">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开标时间：2026年5月9</w:t>
      </w:r>
      <w:bookmarkStart w:id="163" w:name="_GoBack"/>
      <w:bookmarkEnd w:id="163"/>
      <w:r>
        <w:rPr>
          <w:rFonts w:hint="eastAsia" w:ascii="宋体" w:hAnsi="宋体" w:eastAsia="宋体" w:cs="宋体"/>
          <w:b w:val="0"/>
          <w:bCs w:val="0"/>
          <w:sz w:val="21"/>
          <w:szCs w:val="21"/>
          <w:highlight w:val="yellow"/>
          <w:lang w:val="en-US" w:eastAsia="zh-CN"/>
        </w:rPr>
        <w:t>日9:00:00（暂定，以实际通知为准）</w:t>
      </w:r>
    </w:p>
    <w:p w14:paraId="06F7B67A">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158"/>
        <w:keepNext w:val="0"/>
        <w:keepLines w:val="0"/>
        <w:pageBreakBefore w:val="0"/>
        <w:widowControl w:val="0"/>
        <w:numPr>
          <w:ilvl w:val="0"/>
          <w:numId w:val="23"/>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158"/>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22" w:name="OLE_LINK2"/>
      <w:r>
        <w:rPr>
          <w:rFonts w:hint="eastAsia" w:ascii="宋体" w:hAnsi="宋体" w:eastAsia="宋体" w:cs="宋体"/>
          <w:b/>
          <w:bCs/>
          <w:sz w:val="21"/>
          <w:szCs w:val="21"/>
        </w:rPr>
        <w:t>→</w:t>
      </w:r>
      <w:bookmarkEnd w:id="22"/>
      <w:r>
        <w:rPr>
          <w:rFonts w:hint="eastAsia" w:ascii="宋体" w:hAnsi="宋体" w:eastAsia="宋体" w:cs="宋体"/>
          <w:b/>
          <w:bCs/>
          <w:sz w:val="21"/>
          <w:szCs w:val="21"/>
        </w:rPr>
        <w:t>唱标→技术标评审→商务标评审。</w:t>
      </w:r>
    </w:p>
    <w:p w14:paraId="45816947">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158"/>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158"/>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23</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162"/>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158"/>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8"/>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C3A41D4">
            <w:pPr>
              <w:spacing w:line="320" w:lineRule="exact"/>
              <w:ind w:right="34" w:rightChars="16"/>
              <w:jc w:val="center"/>
              <w:rPr>
                <w:b/>
                <w:szCs w:val="21"/>
              </w:rPr>
            </w:pPr>
            <w:r>
              <w:rPr>
                <w:rFonts w:hint="eastAsia"/>
                <w:b/>
              </w:rPr>
              <w:t>最高</w:t>
            </w:r>
          </w:p>
          <w:p w14:paraId="2F5235E4">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6246645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1F5BA08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7C0A112D">
      <w:pPr>
        <w:pStyle w:val="158"/>
      </w:pPr>
      <w:r>
        <w:rPr>
          <w:rFonts w:hint="eastAsia"/>
          <w:lang w:val="en-US" w:eastAsia="zh-CN"/>
        </w:rPr>
        <w:t>定标</w:t>
      </w:r>
    </w:p>
    <w:p w14:paraId="6B705137">
      <w:pPr>
        <w:pStyle w:val="158"/>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158"/>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3" w:name="OLE_LINK27"/>
      <w:bookmarkStart w:id="24" w:name="OLE_LINK29"/>
      <w:bookmarkStart w:id="25" w:name="OLE_LINK25"/>
      <w:bookmarkStart w:id="26" w:name="OLE_LINK26"/>
      <w:bookmarkStart w:id="27" w:name="OLE_LINK28"/>
      <w:r>
        <w:rPr>
          <w:rFonts w:hint="eastAsia" w:ascii="宋体" w:hAnsi="宋体" w:eastAsia="宋体" w:cs="宋体"/>
          <w:bCs/>
          <w:sz w:val="21"/>
          <w:szCs w:val="21"/>
          <w:highlight w:val="none"/>
        </w:rPr>
        <w:t>；</w:t>
      </w:r>
      <w:bookmarkEnd w:id="23"/>
      <w:bookmarkEnd w:id="24"/>
      <w:bookmarkEnd w:id="25"/>
      <w:bookmarkEnd w:id="26"/>
      <w:bookmarkEnd w:id="27"/>
    </w:p>
    <w:p w14:paraId="24E36D3A">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14:paraId="5CD1D199">
      <w:pPr>
        <w:pStyle w:val="17"/>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158"/>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158"/>
      </w:pPr>
      <w:r>
        <w:rPr>
          <w:rFonts w:hint="eastAsia"/>
          <w:lang w:val="en-US" w:eastAsia="zh-CN"/>
        </w:rPr>
        <w:t>交货及付款</w:t>
      </w:r>
    </w:p>
    <w:p w14:paraId="0DD46053">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26F1805D">
      <w:pPr>
        <w:pStyle w:val="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Ansi="宋体" w:eastAsia="宋体" w:cs="宋体"/>
          <w:b w:val="0"/>
          <w:bCs w:val="0"/>
          <w:color w:val="000000"/>
          <w:sz w:val="21"/>
          <w:szCs w:val="21"/>
          <w:highlight w:val="none"/>
        </w:rPr>
      </w:pPr>
      <w:r>
        <w:rPr>
          <w:rFonts w:hint="eastAsia" w:hAnsi="宋体" w:eastAsia="宋体" w:cs="宋体"/>
          <w:b w:val="0"/>
          <w:bCs w:val="0"/>
          <w:color w:val="000000"/>
          <w:sz w:val="21"/>
          <w:szCs w:val="21"/>
          <w:highlight w:val="none"/>
        </w:rPr>
        <w:t>2026年5月21日设备进场</w:t>
      </w:r>
    </w:p>
    <w:p w14:paraId="2A3E3A16">
      <w:pPr>
        <w:pStyle w:val="15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山东省济南市章丘区圣井街道潘王路西，济南轻卡制造公司。</w:t>
      </w:r>
    </w:p>
    <w:p w14:paraId="6C8560A2">
      <w:pPr>
        <w:pStyle w:val="158"/>
        <w:numPr>
          <w:ilvl w:val="0"/>
          <w:numId w:val="26"/>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158"/>
        <w:numPr>
          <w:ilvl w:val="0"/>
          <w:numId w:val="26"/>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158"/>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付款节点：3:6:1</w:t>
      </w:r>
    </w:p>
    <w:p w14:paraId="2E70A5B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14:paraId="1C5D539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14:paraId="130D1770">
      <w:pPr>
        <w:pStyle w:val="13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158"/>
        <w:rPr>
          <w:rFonts w:hint="eastAsia"/>
          <w:lang w:val="en-US" w:eastAsia="zh-CN"/>
        </w:rPr>
      </w:pPr>
      <w:r>
        <w:rPr>
          <w:rFonts w:hint="eastAsia"/>
          <w:lang w:val="en-US" w:eastAsia="zh-CN"/>
        </w:rPr>
        <w:t>质保期</w:t>
      </w:r>
    </w:p>
    <w:p w14:paraId="4E01C3B5">
      <w:pPr>
        <w:pStyle w:val="15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自设备验收文件最终签署之日起壹年。（投标人可在满足上述最短质保期基础上竞报）</w:t>
      </w:r>
    </w:p>
    <w:p w14:paraId="6E0D7439">
      <w:pPr>
        <w:pStyle w:val="158"/>
        <w:rPr>
          <w:rFonts w:hint="eastAsia"/>
          <w:lang w:val="en-US" w:eastAsia="zh-CN"/>
        </w:rPr>
      </w:pPr>
      <w:r>
        <w:rPr>
          <w:rFonts w:hint="eastAsia"/>
          <w:lang w:val="en-US" w:eastAsia="zh-CN"/>
        </w:rPr>
        <w:t>本次招标最终解释权归中国重汽集团济南商用车有限公司。</w:t>
      </w:r>
    </w:p>
    <w:p w14:paraId="66BCACD8">
      <w:pPr>
        <w:pStyle w:val="160"/>
      </w:pPr>
    </w:p>
    <w:p w14:paraId="07A4B493">
      <w:pPr>
        <w:pStyle w:val="157"/>
        <w:jc w:val="both"/>
        <w:rPr>
          <w:rFonts w:hint="eastAsia"/>
        </w:rPr>
      </w:pPr>
    </w:p>
    <w:p w14:paraId="243FF35F">
      <w:pPr>
        <w:pStyle w:val="157"/>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61165A56">
      <w:pPr>
        <w:pStyle w:val="157"/>
        <w:rPr>
          <w:rFonts w:hint="eastAsia" w:cs="Times New Roman"/>
        </w:rPr>
      </w:pPr>
      <w:bookmarkStart w:id="28" w:name="_Toc12639"/>
      <w:r>
        <w:rPr>
          <w:rFonts w:hint="eastAsia"/>
        </w:rPr>
        <w:t>第</w:t>
      </w:r>
      <w:r>
        <w:rPr>
          <w:rFonts w:hint="eastAsia"/>
          <w:lang w:val="en-US" w:eastAsia="zh-CN"/>
        </w:rPr>
        <w:t>二</w:t>
      </w:r>
      <w:r>
        <w:rPr>
          <w:rFonts w:hint="eastAsia"/>
        </w:rPr>
        <w:t>部分 技术标书</w:t>
      </w:r>
      <w:bookmarkEnd w:id="2"/>
      <w:bookmarkEnd w:id="28"/>
    </w:p>
    <w:p w14:paraId="2F5B181C">
      <w:pPr>
        <w:pStyle w:val="17"/>
        <w:rPr>
          <w:highlight w:val="none"/>
        </w:rPr>
      </w:pPr>
    </w:p>
    <w:p w14:paraId="5A7AB996">
      <w:pPr>
        <w:spacing w:line="276" w:lineRule="auto"/>
        <w:jc w:val="center"/>
        <w:rPr>
          <w:rFonts w:hint="eastAsia" w:ascii="Calibri" w:hAnsi="宋体" w:eastAsia="宋体" w:cs="Times New Roman"/>
          <w:b/>
          <w:bCs/>
          <w:color w:val="000000"/>
          <w:spacing w:val="-8"/>
          <w:sz w:val="44"/>
          <w:szCs w:val="44"/>
          <w:highlight w:val="none"/>
        </w:rPr>
      </w:pPr>
      <w:r>
        <w:rPr>
          <w:rFonts w:hint="eastAsia" w:ascii="Calibri" w:hAnsi="宋体" w:eastAsia="宋体" w:cs="Times New Roman"/>
          <w:b/>
          <w:bCs/>
          <w:color w:val="000000"/>
          <w:spacing w:val="-8"/>
          <w:sz w:val="44"/>
          <w:szCs w:val="44"/>
          <w:highlight w:val="none"/>
        </w:rPr>
        <w:t>中国重汽集团济南商用车有限公司</w:t>
      </w:r>
    </w:p>
    <w:p w14:paraId="2639FBB7">
      <w:pPr>
        <w:spacing w:line="276" w:lineRule="auto"/>
        <w:jc w:val="center"/>
        <w:rPr>
          <w:rFonts w:hint="eastAsia"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新能源轻卡怀挡车型改造项目-</w:t>
      </w:r>
    </w:p>
    <w:p w14:paraId="1E15CC6A">
      <w:pPr>
        <w:spacing w:line="276" w:lineRule="auto"/>
        <w:jc w:val="center"/>
        <w:rPr>
          <w:rFonts w:ascii="Calibri" w:hAnsi="Calibri" w:eastAsia="宋体" w:cs="Times New Roman"/>
          <w:b/>
          <w:bCs/>
          <w:color w:val="000000"/>
          <w:spacing w:val="-8"/>
          <w:sz w:val="48"/>
          <w:szCs w:val="44"/>
          <w:highlight w:val="none"/>
        </w:rPr>
      </w:pPr>
      <w:r>
        <w:rPr>
          <w:rFonts w:hint="eastAsia" w:ascii="Calibri" w:hAnsi="Calibri" w:eastAsia="宋体" w:cs="Times New Roman"/>
          <w:b/>
          <w:bCs/>
          <w:color w:val="000000"/>
          <w:spacing w:val="-8"/>
          <w:sz w:val="48"/>
          <w:szCs w:val="44"/>
          <w:highlight w:val="none"/>
        </w:rPr>
        <w:t>焊装线改造项目</w:t>
      </w:r>
      <w:r>
        <w:rPr>
          <w:rFonts w:ascii="Calibri" w:hAnsi="Calibri" w:eastAsia="宋体" w:cs="Times New Roman"/>
          <w:b/>
          <w:bCs/>
          <w:color w:val="000000"/>
          <w:spacing w:val="-8"/>
          <w:sz w:val="48"/>
          <w:szCs w:val="44"/>
          <w:highlight w:val="none"/>
        </w:rPr>
        <w:t xml:space="preserve"> </w:t>
      </w:r>
    </w:p>
    <w:p w14:paraId="01C8E31B">
      <w:pPr>
        <w:jc w:val="right"/>
        <w:rPr>
          <w:rFonts w:ascii="Calibri" w:hAnsi="Calibri" w:eastAsia="宋体" w:cs="Times New Roman"/>
          <w:color w:val="000000"/>
          <w:sz w:val="28"/>
          <w:szCs w:val="28"/>
          <w:highlight w:val="none"/>
        </w:rPr>
      </w:pPr>
    </w:p>
    <w:p w14:paraId="0728AB20">
      <w:pPr>
        <w:pStyle w:val="17"/>
        <w:rPr>
          <w:highlight w:val="none"/>
        </w:rPr>
      </w:pPr>
    </w:p>
    <w:p w14:paraId="47BAC180">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05A93C6D">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6BFFA2CC">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71B28E6">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4EB8090B">
      <w:pPr>
        <w:pStyle w:val="17"/>
        <w:rPr>
          <w:highlight w:val="none"/>
        </w:rPr>
      </w:pPr>
    </w:p>
    <w:p w14:paraId="225A05C8">
      <w:pPr>
        <w:pStyle w:val="17"/>
        <w:rPr>
          <w:rFonts w:hint="eastAsia" w:ascii="黑体" w:hAnsi="宋体" w:eastAsia="黑体" w:cs="Times New Roman"/>
          <w:color w:val="000000"/>
          <w:sz w:val="72"/>
          <w:szCs w:val="72"/>
          <w:highlight w:val="none"/>
        </w:rPr>
      </w:pPr>
    </w:p>
    <w:p w14:paraId="32B9AA70">
      <w:pPr>
        <w:pStyle w:val="17"/>
        <w:rPr>
          <w:rFonts w:hint="eastAsia" w:ascii="黑体" w:hAnsi="宋体" w:eastAsia="黑体" w:cs="Times New Roman"/>
          <w:color w:val="000000"/>
          <w:sz w:val="72"/>
          <w:szCs w:val="72"/>
          <w:highlight w:val="none"/>
        </w:rPr>
      </w:pPr>
    </w:p>
    <w:p w14:paraId="778FFCCB">
      <w:pPr>
        <w:pStyle w:val="17"/>
        <w:rPr>
          <w:rFonts w:hint="eastAsia" w:ascii="黑体" w:hAnsi="宋体" w:eastAsia="黑体" w:cs="Times New Roman"/>
          <w:color w:val="000000"/>
          <w:sz w:val="72"/>
          <w:szCs w:val="72"/>
          <w:highlight w:val="none"/>
        </w:rPr>
      </w:pPr>
    </w:p>
    <w:p w14:paraId="23832CED">
      <w:pPr>
        <w:pStyle w:val="17"/>
        <w:rPr>
          <w:rFonts w:hint="eastAsia" w:ascii="黑体" w:hAnsi="宋体" w:eastAsia="黑体" w:cs="Times New Roman"/>
          <w:color w:val="000000"/>
          <w:sz w:val="72"/>
          <w:szCs w:val="72"/>
          <w:highlight w:val="none"/>
        </w:rPr>
      </w:pPr>
    </w:p>
    <w:p w14:paraId="3363BE09">
      <w:pPr>
        <w:spacing w:line="860" w:lineRule="exact"/>
        <w:rPr>
          <w:rFonts w:hint="eastAsia" w:ascii="华文仿宋" w:hAnsi="华文仿宋" w:eastAsia="华文仿宋"/>
          <w:b/>
          <w:bCs/>
          <w:sz w:val="32"/>
          <w:szCs w:val="28"/>
          <w:highlight w:val="none"/>
        </w:rPr>
      </w:pPr>
    </w:p>
    <w:p w14:paraId="1067D42E">
      <w:pPr>
        <w:pStyle w:val="17"/>
        <w:rPr>
          <w:b/>
          <w:bCs/>
          <w:highlight w:val="none"/>
        </w:rPr>
      </w:pPr>
    </w:p>
    <w:p w14:paraId="19E784D2">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人：中国重汽集团济南商用车有限公司</w:t>
      </w:r>
    </w:p>
    <w:p w14:paraId="60F16920">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2</w:t>
      </w:r>
      <w:r>
        <w:rPr>
          <w:rFonts w:hint="eastAsia" w:ascii="Calibri" w:hAnsi="Calibri" w:eastAsia="宋体" w:cs="Times New Roman"/>
          <w:color w:val="000000"/>
          <w:sz w:val="28"/>
          <w:szCs w:val="28"/>
          <w:highlight w:val="none"/>
        </w:rPr>
        <w:t>月</w:t>
      </w:r>
    </w:p>
    <w:bookmarkEnd w:id="0"/>
    <w:bookmarkEnd w:id="1"/>
    <w:p w14:paraId="20FEAB17">
      <w:pPr>
        <w:spacing w:line="360" w:lineRule="auto"/>
        <w:rPr>
          <w:rFonts w:hint="eastAsia" w:ascii="宋体" w:hAnsi="宋体" w:eastAsia="宋体" w:cs="Times New Roman"/>
          <w:b/>
          <w:sz w:val="36"/>
          <w:szCs w:val="36"/>
          <w:highlight w:val="none"/>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14:paraId="41FBF26F">
      <w:pPr>
        <w:keepNext/>
        <w:keepLines/>
        <w:spacing w:before="120" w:after="120" w:line="360" w:lineRule="auto"/>
        <w:jc w:val="center"/>
        <w:outlineLvl w:val="0"/>
        <w:rPr>
          <w:rFonts w:hint="eastAsia" w:ascii="黑体" w:hAnsi="等线" w:eastAsia="黑体" w:cs="Times New Roman"/>
          <w:kern w:val="44"/>
          <w:sz w:val="28"/>
          <w:szCs w:val="28"/>
          <w:highlight w:val="none"/>
        </w:rPr>
      </w:pPr>
      <w:bookmarkStart w:id="29" w:name="_Toc8924"/>
      <w:bookmarkStart w:id="30" w:name="_Toc25529"/>
      <w:bookmarkStart w:id="31" w:name="_Toc9658377"/>
      <w:bookmarkStart w:id="32" w:name="_Toc169605881"/>
      <w:r>
        <w:rPr>
          <w:rFonts w:hint="eastAsia" w:ascii="黑体" w:hAnsi="等线" w:eastAsia="黑体" w:cs="Times New Roman"/>
          <w:kern w:val="44"/>
          <w:sz w:val="28"/>
          <w:szCs w:val="28"/>
          <w:highlight w:val="none"/>
        </w:rPr>
        <w:t>第一章</w:t>
      </w:r>
      <w:r>
        <w:rPr>
          <w:rFonts w:ascii="黑体" w:hAnsi="等线" w:eastAsia="黑体" w:cs="Times New Roman"/>
          <w:kern w:val="44"/>
          <w:sz w:val="28"/>
          <w:szCs w:val="28"/>
          <w:highlight w:val="none"/>
        </w:rPr>
        <w:t xml:space="preserve">  </w:t>
      </w:r>
      <w:r>
        <w:rPr>
          <w:rFonts w:hint="eastAsia" w:ascii="黑体" w:hAnsi="等线" w:eastAsia="黑体" w:cs="Times New Roman"/>
          <w:kern w:val="44"/>
          <w:sz w:val="28"/>
          <w:szCs w:val="28"/>
          <w:highlight w:val="none"/>
        </w:rPr>
        <w:t>采购货物概况</w:t>
      </w:r>
      <w:bookmarkEnd w:id="29"/>
      <w:bookmarkEnd w:id="30"/>
      <w:bookmarkEnd w:id="31"/>
    </w:p>
    <w:p w14:paraId="397DE549">
      <w:pPr>
        <w:keepNext/>
        <w:keepLines/>
        <w:spacing w:before="120" w:after="120" w:line="360" w:lineRule="auto"/>
        <w:jc w:val="center"/>
        <w:outlineLvl w:val="1"/>
        <w:rPr>
          <w:rFonts w:ascii="Arial" w:hAnsi="Arial" w:eastAsia="宋体" w:cs="Times New Roman"/>
          <w:sz w:val="24"/>
          <w:szCs w:val="24"/>
          <w:highlight w:val="none"/>
        </w:rPr>
      </w:pPr>
      <w:bookmarkStart w:id="33" w:name="_Toc9658378"/>
      <w:r>
        <w:rPr>
          <w:rFonts w:hint="eastAsia" w:ascii="Arial" w:hAnsi="Arial" w:eastAsia="宋体" w:cs="Times New Roman"/>
          <w:sz w:val="24"/>
          <w:szCs w:val="24"/>
          <w:highlight w:val="none"/>
        </w:rPr>
        <w:t>第一节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使用环境</w:t>
      </w:r>
      <w:bookmarkEnd w:id="33"/>
    </w:p>
    <w:p w14:paraId="11F94264">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shd w:val="pct10" w:color="auto" w:fill="FFFFFF"/>
          <w:lang w:val="en-US" w:eastAsia="zh-CN"/>
        </w:rPr>
        <w:t>新能源轻卡怀挡车型改造</w:t>
      </w:r>
      <w:r>
        <w:rPr>
          <w:rFonts w:hint="eastAsia" w:ascii="宋体" w:hAnsi="宋体" w:eastAsia="宋体" w:cs="宋体"/>
          <w:sz w:val="24"/>
          <w:szCs w:val="24"/>
          <w:highlight w:val="none"/>
          <w:u w:val="single"/>
          <w:shd w:val="pct10" w:color="auto" w:fill="FFFFFF"/>
        </w:rPr>
        <w:t>项目</w:t>
      </w:r>
    </w:p>
    <w:p w14:paraId="2D464781">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563B9E69">
      <w:pPr>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17FCE20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四、工作制度：采用双班工作制，年工作日251天。</w:t>
      </w:r>
    </w:p>
    <w:p w14:paraId="02E7BC8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651662DF">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海拔高度：1000m以下</w:t>
      </w:r>
    </w:p>
    <w:p w14:paraId="3533DF44">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室外温度：-20℃～40℃</w:t>
      </w:r>
    </w:p>
    <w:p w14:paraId="7A5A9B5E">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室内温度：-5℃～45℃</w:t>
      </w:r>
      <w:r>
        <w:rPr>
          <w:rFonts w:hint="eastAsia" w:ascii="宋体" w:hAnsi="宋体" w:eastAsia="宋体" w:cs="宋体"/>
          <w:sz w:val="24"/>
          <w:szCs w:val="24"/>
          <w:highlight w:val="none"/>
        </w:rPr>
        <w:tab/>
      </w:r>
    </w:p>
    <w:p w14:paraId="177B4370">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环境湿度：在20℃时最大湿度为90%</w:t>
      </w:r>
    </w:p>
    <w:p w14:paraId="7E499F70">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压缩空气压力：0.4～0.6Mpa</w:t>
      </w:r>
    </w:p>
    <w:p w14:paraId="30DD33E5">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电源电压：380V±15%，50 Hz±2%</w:t>
      </w:r>
    </w:p>
    <w:p w14:paraId="7FDDDA55">
      <w:pPr>
        <w:numPr>
          <w:ilvl w:val="0"/>
          <w:numId w:val="27"/>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本项目的工作制度、产能、节拍及效率如下，投标方提供的设施、设备必须满足此要求。</w:t>
      </w:r>
    </w:p>
    <w:tbl>
      <w:tblPr>
        <w:tblStyle w:val="38"/>
        <w:tblW w:w="3974"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88"/>
        <w:gridCol w:w="2428"/>
        <w:gridCol w:w="762"/>
        <w:gridCol w:w="1188"/>
        <w:gridCol w:w="1580"/>
        <w:gridCol w:w="835"/>
      </w:tblGrid>
      <w:tr w14:paraId="3421947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5" w:hRule="atLeast"/>
          <w:jc w:val="center"/>
        </w:trPr>
        <w:tc>
          <w:tcPr>
            <w:tcW w:w="398" w:type="pct"/>
            <w:tcBorders>
              <w:tl2br w:val="nil"/>
              <w:tr2bl w:val="nil"/>
            </w:tcBorders>
            <w:vAlign w:val="center"/>
          </w:tcPr>
          <w:p w14:paraId="530E696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No.</w:t>
            </w:r>
          </w:p>
        </w:tc>
        <w:tc>
          <w:tcPr>
            <w:tcW w:w="1644" w:type="pct"/>
            <w:tcBorders>
              <w:tl2br w:val="nil"/>
              <w:tr2bl w:val="nil"/>
            </w:tcBorders>
            <w:vAlign w:val="center"/>
          </w:tcPr>
          <w:p w14:paraId="30156F1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主体工程</w:t>
            </w:r>
          </w:p>
        </w:tc>
        <w:tc>
          <w:tcPr>
            <w:tcW w:w="516" w:type="pct"/>
            <w:tcBorders>
              <w:tl2br w:val="nil"/>
              <w:tr2bl w:val="nil"/>
            </w:tcBorders>
            <w:vAlign w:val="center"/>
          </w:tcPr>
          <w:p w14:paraId="6703E05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班次</w:t>
            </w:r>
          </w:p>
        </w:tc>
        <w:tc>
          <w:tcPr>
            <w:tcW w:w="804" w:type="pct"/>
            <w:tcBorders>
              <w:tl2br w:val="nil"/>
              <w:tr2bl w:val="nil"/>
            </w:tcBorders>
            <w:vAlign w:val="center"/>
          </w:tcPr>
          <w:p w14:paraId="2FCA164A">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工艺节拍</w:t>
            </w:r>
          </w:p>
        </w:tc>
        <w:tc>
          <w:tcPr>
            <w:tcW w:w="1070" w:type="pct"/>
            <w:tcBorders>
              <w:tl2br w:val="nil"/>
              <w:tr2bl w:val="nil"/>
            </w:tcBorders>
            <w:vAlign w:val="center"/>
          </w:tcPr>
          <w:p w14:paraId="756313B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w:t>
            </w:r>
          </w:p>
        </w:tc>
        <w:tc>
          <w:tcPr>
            <w:tcW w:w="565" w:type="pct"/>
            <w:tcBorders>
              <w:tl2br w:val="nil"/>
              <w:tr2bl w:val="nil"/>
            </w:tcBorders>
            <w:vAlign w:val="center"/>
          </w:tcPr>
          <w:p w14:paraId="21B0EFE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3322341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8" w:type="pct"/>
            <w:tcBorders>
              <w:tl2br w:val="nil"/>
              <w:tr2bl w:val="nil"/>
            </w:tcBorders>
            <w:vAlign w:val="center"/>
          </w:tcPr>
          <w:p w14:paraId="21D45D8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644" w:type="pct"/>
            <w:tcBorders>
              <w:tl2br w:val="nil"/>
              <w:tr2bl w:val="nil"/>
            </w:tcBorders>
            <w:vAlign w:val="center"/>
          </w:tcPr>
          <w:p w14:paraId="1F8D324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焊装线适应性</w:t>
            </w:r>
            <w:r>
              <w:rPr>
                <w:rFonts w:hint="eastAsia" w:ascii="宋体" w:hAnsi="宋体" w:eastAsia="宋体" w:cs="宋体"/>
                <w:sz w:val="24"/>
                <w:szCs w:val="24"/>
                <w:highlight w:val="none"/>
              </w:rPr>
              <w:t>改造</w:t>
            </w:r>
          </w:p>
        </w:tc>
        <w:tc>
          <w:tcPr>
            <w:tcW w:w="516" w:type="pct"/>
            <w:tcBorders>
              <w:tl2br w:val="nil"/>
              <w:tr2bl w:val="nil"/>
            </w:tcBorders>
            <w:vAlign w:val="center"/>
          </w:tcPr>
          <w:p w14:paraId="21146BB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04" w:type="pct"/>
            <w:tcBorders>
              <w:tl2br w:val="nil"/>
              <w:tr2bl w:val="nil"/>
            </w:tcBorders>
            <w:vAlign w:val="center"/>
          </w:tcPr>
          <w:p w14:paraId="35676B1C">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min</w:t>
            </w:r>
          </w:p>
        </w:tc>
        <w:tc>
          <w:tcPr>
            <w:tcW w:w="1070" w:type="pct"/>
            <w:tcBorders>
              <w:tl2br w:val="nil"/>
              <w:tr2bl w:val="nil"/>
            </w:tcBorders>
            <w:vAlign w:val="center"/>
          </w:tcPr>
          <w:p w14:paraId="450A432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85%</w:t>
            </w:r>
          </w:p>
        </w:tc>
        <w:tc>
          <w:tcPr>
            <w:tcW w:w="565" w:type="pct"/>
            <w:tcBorders>
              <w:tl2br w:val="nil"/>
              <w:tr2bl w:val="nil"/>
            </w:tcBorders>
            <w:vAlign w:val="center"/>
          </w:tcPr>
          <w:p w14:paraId="7F3648D2">
            <w:pPr>
              <w:spacing w:line="360" w:lineRule="auto"/>
              <w:jc w:val="center"/>
              <w:rPr>
                <w:rFonts w:hint="eastAsia" w:ascii="宋体" w:hAnsi="宋体" w:eastAsia="宋体" w:cs="宋体"/>
                <w:sz w:val="24"/>
                <w:szCs w:val="24"/>
                <w:highlight w:val="none"/>
              </w:rPr>
            </w:pPr>
          </w:p>
        </w:tc>
      </w:tr>
      <w:tr w14:paraId="39C97D9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98" w:type="pct"/>
            <w:tcBorders>
              <w:tl2br w:val="nil"/>
              <w:tr2bl w:val="nil"/>
            </w:tcBorders>
            <w:vAlign w:val="center"/>
          </w:tcPr>
          <w:p w14:paraId="64EF1C75">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644" w:type="pct"/>
            <w:tcBorders>
              <w:tl2br w:val="nil"/>
              <w:tr2bl w:val="nil"/>
            </w:tcBorders>
            <w:vAlign w:val="center"/>
          </w:tcPr>
          <w:p w14:paraId="3814431C">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手动工装新增及改造</w:t>
            </w:r>
          </w:p>
        </w:tc>
        <w:tc>
          <w:tcPr>
            <w:tcW w:w="516" w:type="pct"/>
            <w:tcBorders>
              <w:tl2br w:val="nil"/>
              <w:tr2bl w:val="nil"/>
            </w:tcBorders>
            <w:vAlign w:val="center"/>
          </w:tcPr>
          <w:p w14:paraId="62848E39">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804" w:type="pct"/>
            <w:tcBorders>
              <w:tl2br w:val="nil"/>
              <w:tr2bl w:val="nil"/>
            </w:tcBorders>
            <w:vAlign w:val="center"/>
          </w:tcPr>
          <w:p w14:paraId="2A1187AB">
            <w:pPr>
              <w:spacing w:line="360" w:lineRule="auto"/>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tc>
        <w:tc>
          <w:tcPr>
            <w:tcW w:w="1070" w:type="pct"/>
            <w:tcBorders>
              <w:tl2br w:val="nil"/>
              <w:tr2bl w:val="nil"/>
            </w:tcBorders>
            <w:vAlign w:val="center"/>
          </w:tcPr>
          <w:p w14:paraId="0B0FE718">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565" w:type="pct"/>
            <w:tcBorders>
              <w:tl2br w:val="nil"/>
              <w:tr2bl w:val="nil"/>
            </w:tcBorders>
            <w:vAlign w:val="center"/>
          </w:tcPr>
          <w:p w14:paraId="432CF655">
            <w:pPr>
              <w:spacing w:line="360" w:lineRule="auto"/>
              <w:jc w:val="center"/>
              <w:rPr>
                <w:rFonts w:hint="eastAsia" w:ascii="宋体" w:hAnsi="宋体" w:eastAsia="宋体" w:cs="宋体"/>
                <w:sz w:val="24"/>
                <w:szCs w:val="24"/>
                <w:highlight w:val="none"/>
              </w:rPr>
            </w:pPr>
          </w:p>
        </w:tc>
      </w:tr>
    </w:tbl>
    <w:p w14:paraId="4129670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72F796D1">
      <w:pPr>
        <w:pStyle w:val="133"/>
        <w:widowControl/>
        <w:numPr>
          <w:ilvl w:val="0"/>
          <w:numId w:val="28"/>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设备开动率指设备计划生产时间内：设备实际开动时间/（设备实际开动时间+设备停机时间）</w:t>
      </w:r>
      <w:r>
        <w:rPr>
          <w:rFonts w:hint="eastAsia" w:ascii="宋体" w:hAnsi="宋体" w:eastAsia="宋体" w:cs="宋体"/>
          <w:sz w:val="24"/>
          <w:szCs w:val="24"/>
          <w:highlight w:val="none"/>
          <w:lang w:eastAsia="zh-CN"/>
        </w:rPr>
        <w:t>。</w:t>
      </w:r>
    </w:p>
    <w:p w14:paraId="605921EA">
      <w:pPr>
        <w:pStyle w:val="133"/>
        <w:widowControl/>
        <w:numPr>
          <w:ilvl w:val="0"/>
          <w:numId w:val="28"/>
        </w:numPr>
        <w:spacing w:line="360" w:lineRule="auto"/>
        <w:ind w:left="420" w:leftChars="0" w:hanging="42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需要投标方对生产线各工位进行节拍平衡调试。</w:t>
      </w:r>
    </w:p>
    <w:p w14:paraId="6920D9B7">
      <w:pPr>
        <w:pStyle w:val="133"/>
        <w:widowControl/>
        <w:numPr>
          <w:ilvl w:val="0"/>
          <w:numId w:val="28"/>
        </w:numPr>
        <w:spacing w:line="360" w:lineRule="auto"/>
        <w:ind w:left="420" w:leftChars="0" w:hanging="420" w:firstLineChars="0"/>
        <w:contextualSpacing/>
        <w:jc w:val="left"/>
        <w:rPr>
          <w:rFonts w:hint="eastAsia" w:ascii="Arial" w:hAnsi="Arial" w:eastAsia="宋体" w:cs="Times New Roman"/>
          <w:sz w:val="24"/>
          <w:szCs w:val="24"/>
          <w:highlight w:val="none"/>
        </w:rPr>
      </w:pPr>
      <w:r>
        <w:rPr>
          <w:rFonts w:hint="eastAsia" w:ascii="宋体" w:hAnsi="宋体" w:eastAsia="宋体" w:cs="宋体"/>
          <w:sz w:val="24"/>
          <w:szCs w:val="24"/>
          <w:highlight w:val="none"/>
        </w:rPr>
        <w:t>节拍要求仅针对</w:t>
      </w:r>
      <w:r>
        <w:rPr>
          <w:rFonts w:hint="eastAsia" w:ascii="宋体" w:hAnsi="宋体" w:eastAsia="宋体" w:cs="宋体"/>
          <w:sz w:val="24"/>
          <w:szCs w:val="24"/>
          <w:highlight w:val="none"/>
          <w:lang w:val="en-US" w:eastAsia="zh-CN"/>
        </w:rPr>
        <w:t>新能源轻卡怀挡车型改造</w:t>
      </w:r>
      <w:r>
        <w:rPr>
          <w:rFonts w:hint="eastAsia" w:ascii="宋体" w:hAnsi="宋体" w:eastAsia="宋体" w:cs="宋体"/>
          <w:sz w:val="24"/>
          <w:szCs w:val="24"/>
          <w:highlight w:val="none"/>
        </w:rPr>
        <w:t>项目涉及车型，线体内原有车型保持改造前的节拍不变。</w:t>
      </w:r>
      <w:bookmarkStart w:id="34" w:name="_Toc9658379"/>
    </w:p>
    <w:p w14:paraId="212DADBC">
      <w:pPr>
        <w:rPr>
          <w:rFonts w:hint="eastAsia" w:ascii="Arial" w:hAnsi="Arial" w:eastAsia="宋体" w:cs="Times New Roman"/>
          <w:sz w:val="24"/>
          <w:szCs w:val="24"/>
          <w:highlight w:val="none"/>
        </w:rPr>
      </w:pPr>
    </w:p>
    <w:p w14:paraId="6EF23487">
      <w:pPr>
        <w:rPr>
          <w:rFonts w:hint="eastAsia" w:ascii="Arial" w:hAnsi="Arial" w:eastAsia="宋体" w:cs="Times New Roman"/>
          <w:sz w:val="24"/>
          <w:szCs w:val="24"/>
          <w:highlight w:val="none"/>
        </w:rPr>
      </w:pPr>
    </w:p>
    <w:p w14:paraId="375FCA81">
      <w:pPr>
        <w:rPr>
          <w:rFonts w:hint="eastAsia" w:ascii="Arial" w:hAnsi="Arial" w:eastAsia="宋体" w:cs="Times New Roman"/>
          <w:sz w:val="24"/>
          <w:szCs w:val="24"/>
          <w:highlight w:val="none"/>
        </w:rPr>
      </w:pPr>
    </w:p>
    <w:p w14:paraId="693AE266">
      <w:pPr>
        <w:keepNext/>
        <w:keepLines/>
        <w:spacing w:before="120" w:after="120" w:line="360" w:lineRule="auto"/>
        <w:jc w:val="center"/>
        <w:outlineLvl w:val="1"/>
        <w:rPr>
          <w:rFonts w:hint="eastAsia" w:ascii="Arial" w:hAnsi="Arial" w:eastAsia="宋体" w:cs="Times New Roman"/>
          <w:sz w:val="24"/>
          <w:szCs w:val="24"/>
          <w:highlight w:val="none"/>
        </w:rPr>
      </w:pPr>
      <w:r>
        <w:rPr>
          <w:rFonts w:hint="eastAsia" w:ascii="Arial" w:hAnsi="Arial" w:eastAsia="宋体" w:cs="Times New Roman"/>
          <w:sz w:val="24"/>
          <w:szCs w:val="24"/>
          <w:highlight w:val="none"/>
        </w:rPr>
        <w:t>第二节  采购货物概况</w:t>
      </w:r>
      <w:bookmarkEnd w:id="34"/>
    </w:p>
    <w:p w14:paraId="0F02A22C">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u w:val="single"/>
          <w:shd w:val="pct10" w:color="auto" w:fill="FFFFFF"/>
          <w:lang w:val="en-US" w:eastAsia="zh-CN"/>
        </w:rPr>
        <w:t>新能源轻卡怀挡车型改造</w:t>
      </w:r>
      <w:r>
        <w:rPr>
          <w:rFonts w:hint="eastAsia" w:ascii="宋体" w:hAnsi="宋体" w:eastAsia="宋体" w:cs="宋体"/>
          <w:sz w:val="24"/>
          <w:szCs w:val="24"/>
          <w:highlight w:val="none"/>
          <w:u w:val="single"/>
          <w:shd w:val="pct10" w:color="auto" w:fill="FFFFFF"/>
        </w:rPr>
        <w:t>项目</w:t>
      </w:r>
    </w:p>
    <w:p w14:paraId="4B867928">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一宗</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（详见下表）</w:t>
      </w:r>
    </w:p>
    <w:p w14:paraId="602A6188">
      <w:pPr>
        <w:spacing w:line="360" w:lineRule="auto"/>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三、分投分中：</w:t>
      </w:r>
      <w:r>
        <w:rPr>
          <w:rFonts w:hint="eastAsia" w:ascii="宋体" w:hAnsi="宋体" w:eastAsia="宋体" w:cs="宋体"/>
          <w:sz w:val="24"/>
          <w:szCs w:val="24"/>
          <w:highlight w:val="none"/>
          <w:u w:val="single"/>
          <w:shd w:val="pct10" w:color="auto" w:fill="FFFFFF"/>
        </w:rPr>
        <w:t>不允许</w:t>
      </w:r>
    </w:p>
    <w:p w14:paraId="50461C3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p w14:paraId="53FFA55B">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通过手工焊夹具改造、新增及焊装线适应性改造，</w:t>
      </w:r>
      <w:r>
        <w:rPr>
          <w:rFonts w:hint="eastAsia" w:ascii="宋体" w:hAnsi="宋体" w:eastAsia="宋体" w:cs="宋体"/>
          <w:sz w:val="24"/>
          <w:szCs w:val="24"/>
          <w:highlight w:val="none"/>
        </w:rPr>
        <w:t>实现</w:t>
      </w:r>
      <w:r>
        <w:rPr>
          <w:rFonts w:hint="eastAsia" w:ascii="宋体" w:hAnsi="宋体" w:eastAsia="宋体" w:cs="宋体"/>
          <w:sz w:val="24"/>
          <w:szCs w:val="24"/>
          <w:highlight w:val="none"/>
          <w:lang w:val="en-US" w:eastAsia="zh-CN"/>
        </w:rPr>
        <w:t>新能源轻卡怀挡车型25款悍将宽体单排/排半及统帅PRO宽体单排/排半共4款驾驶室的生产。</w:t>
      </w:r>
    </w:p>
    <w:p w14:paraId="15B7C31D">
      <w:pPr>
        <w:spacing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主要供货明细详见下表：</w:t>
      </w:r>
    </w:p>
    <w:tbl>
      <w:tblPr>
        <w:tblStyle w:val="38"/>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94"/>
        <w:gridCol w:w="838"/>
        <w:gridCol w:w="1562"/>
        <w:gridCol w:w="1545"/>
      </w:tblGrid>
      <w:tr w14:paraId="12F5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207397B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4794" w:type="dxa"/>
            <w:vAlign w:val="center"/>
          </w:tcPr>
          <w:p w14:paraId="31A6C1E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838" w:type="dxa"/>
            <w:vAlign w:val="center"/>
          </w:tcPr>
          <w:p w14:paraId="220A05E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562" w:type="dxa"/>
            <w:vAlign w:val="center"/>
          </w:tcPr>
          <w:p w14:paraId="1F9FACC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1545" w:type="dxa"/>
            <w:vAlign w:val="center"/>
          </w:tcPr>
          <w:p w14:paraId="6ADB43E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5EBB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1D25E1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794" w:type="dxa"/>
            <w:vAlign w:val="center"/>
          </w:tcPr>
          <w:p w14:paraId="49C5378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统帅PRO地板前部后横梁总成手动工装</w:t>
            </w:r>
          </w:p>
        </w:tc>
        <w:tc>
          <w:tcPr>
            <w:tcW w:w="838" w:type="dxa"/>
            <w:vAlign w:val="center"/>
          </w:tcPr>
          <w:p w14:paraId="321D81CB">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562" w:type="dxa"/>
            <w:vAlign w:val="center"/>
          </w:tcPr>
          <w:p w14:paraId="69B16A1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2AC3BBA8">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w:t>
            </w:r>
          </w:p>
        </w:tc>
      </w:tr>
      <w:tr w14:paraId="6065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46E15A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4794" w:type="dxa"/>
            <w:vAlign w:val="center"/>
          </w:tcPr>
          <w:p w14:paraId="3F4628D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悍将地板后横梁总成夹具</w:t>
            </w:r>
          </w:p>
        </w:tc>
        <w:tc>
          <w:tcPr>
            <w:tcW w:w="838" w:type="dxa"/>
            <w:vAlign w:val="center"/>
          </w:tcPr>
          <w:p w14:paraId="4ED03FC4">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1套</w:t>
            </w:r>
          </w:p>
        </w:tc>
        <w:tc>
          <w:tcPr>
            <w:tcW w:w="1562" w:type="dxa"/>
            <w:vAlign w:val="center"/>
          </w:tcPr>
          <w:p w14:paraId="53017FA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56348DB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r w14:paraId="246D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5EB5E8E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4794" w:type="dxa"/>
            <w:vAlign w:val="center"/>
          </w:tcPr>
          <w:p w14:paraId="52C3085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地板骨架工位适应性改造及防错识别</w:t>
            </w:r>
          </w:p>
        </w:tc>
        <w:tc>
          <w:tcPr>
            <w:tcW w:w="838" w:type="dxa"/>
            <w:vAlign w:val="center"/>
          </w:tcPr>
          <w:p w14:paraId="03F54A20">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562" w:type="dxa"/>
            <w:vAlign w:val="center"/>
          </w:tcPr>
          <w:p w14:paraId="470B784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545" w:type="dxa"/>
            <w:vAlign w:val="center"/>
          </w:tcPr>
          <w:p w14:paraId="49855179">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r w14:paraId="151B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29AB001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4794" w:type="dxa"/>
            <w:vAlign w:val="center"/>
          </w:tcPr>
          <w:p w14:paraId="29C47DEC">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中地板/前地板工位适应性改造及防错识别</w:t>
            </w:r>
          </w:p>
        </w:tc>
        <w:tc>
          <w:tcPr>
            <w:tcW w:w="838" w:type="dxa"/>
            <w:vAlign w:val="center"/>
          </w:tcPr>
          <w:p w14:paraId="15E3AFA0">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1宗</w:t>
            </w:r>
          </w:p>
        </w:tc>
        <w:tc>
          <w:tcPr>
            <w:tcW w:w="1562" w:type="dxa"/>
            <w:vAlign w:val="center"/>
          </w:tcPr>
          <w:p w14:paraId="4E2A94E9">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交钥匙方式</w:t>
            </w:r>
          </w:p>
        </w:tc>
        <w:tc>
          <w:tcPr>
            <w:tcW w:w="1545" w:type="dxa"/>
            <w:vAlign w:val="center"/>
          </w:tcPr>
          <w:p w14:paraId="7164F1C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bl>
    <w:p w14:paraId="133041B2">
      <w:pPr>
        <w:pStyle w:val="17"/>
        <w:rPr>
          <w:highlight w:val="none"/>
        </w:rPr>
      </w:pPr>
    </w:p>
    <w:p w14:paraId="70F9286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7F8A7AE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本表“供货方式”：交钥匙方式——卖方负责设备的设计、制造、运输、卸载、安装、调试、试运行、验收以及培训等直至达到买方的各项要求并交付使用。</w:t>
      </w:r>
    </w:p>
    <w:p w14:paraId="3026080A">
      <w:pPr>
        <w:pStyle w:val="17"/>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14:paraId="2C89E022">
      <w:pPr>
        <w:pStyle w:val="17"/>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21</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14:paraId="23E6297C">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26</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14:paraId="381B3729">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14:paraId="655C8880">
      <w:pPr>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rPr>
        <w:t>安装调试时间或终验收时间超过规定时间的，投标方应随标书提供详细的工期计划。</w:t>
      </w:r>
    </w:p>
    <w:p w14:paraId="199047DA">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bidi="ar"/>
        </w:rPr>
        <w:t>四、采购货物特别说明</w:t>
      </w:r>
    </w:p>
    <w:p w14:paraId="7D5E8B1E">
      <w:pPr>
        <w:spacing w:line="360" w:lineRule="auto"/>
        <w:ind w:firstLine="480" w:firstLineChars="200"/>
        <w:rPr>
          <w:rFonts w:hint="eastAsia" w:ascii="宋体" w:hAnsi="宋体" w:eastAsia="宋体" w:cs="宋体"/>
          <w:sz w:val="24"/>
          <w:szCs w:val="24"/>
          <w:highlight w:val="none"/>
        </w:rPr>
      </w:pPr>
      <w:bookmarkStart w:id="35" w:name="_Toc9658380"/>
      <w:r>
        <w:rPr>
          <w:rFonts w:hint="eastAsia" w:ascii="宋体" w:hAnsi="宋体" w:eastAsia="宋体" w:cs="宋体"/>
          <w:sz w:val="24"/>
          <w:szCs w:val="24"/>
          <w:highlight w:val="none"/>
        </w:rPr>
        <w:t>1.工程界面</w:t>
      </w:r>
    </w:p>
    <w:p w14:paraId="43045D4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招标方负责将厂房一次侧的焊接母线、动力母线、进水、回水、压缩空气接入到各生产区域需求点，投标方负责从需求点接入设备。区域分配如下图所示：</w:t>
      </w:r>
    </w:p>
    <w:p w14:paraId="779EF872">
      <w:pPr>
        <w:keepNext w:val="0"/>
        <w:keepLines w:val="0"/>
        <w:pageBreakBefore w:val="0"/>
        <w:widowControl w:val="0"/>
        <w:kinsoku/>
        <w:wordWrap/>
        <w:overflowPunct/>
        <w:topLinePunct w:val="0"/>
        <w:autoSpaceDE/>
        <w:autoSpaceDN/>
        <w:bidi w:val="0"/>
        <w:adjustRightInd/>
        <w:snapToGrid/>
        <w:spacing w:line="360" w:lineRule="auto"/>
        <w:ind w:left="482"/>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rPr>
        <w:drawing>
          <wp:inline distT="0" distB="0" distL="114300" distR="114300">
            <wp:extent cx="5292090" cy="3060065"/>
            <wp:effectExtent l="0" t="0" r="3810" b="635"/>
            <wp:docPr id="40" name="图片 1" descr="Inked图片1_LI"/>
            <wp:cNvGraphicFramePr/>
            <a:graphic xmlns:a="http://schemas.openxmlformats.org/drawingml/2006/main">
              <a:graphicData uri="http://schemas.openxmlformats.org/drawingml/2006/picture">
                <pic:pic xmlns:pic="http://schemas.openxmlformats.org/drawingml/2006/picture">
                  <pic:nvPicPr>
                    <pic:cNvPr id="40" name="图片 1" descr="Inked图片1_LI"/>
                    <pic:cNvPicPr/>
                  </pic:nvPicPr>
                  <pic:blipFill>
                    <a:blip r:embed="rId23" cstate="print"/>
                    <a:stretch>
                      <a:fillRect/>
                    </a:stretch>
                  </pic:blipFill>
                  <pic:spPr>
                    <a:xfrm>
                      <a:off x="0" y="0"/>
                      <a:ext cx="5292090" cy="3060065"/>
                    </a:xfrm>
                    <a:prstGeom prst="rect">
                      <a:avLst/>
                    </a:prstGeom>
                    <a:noFill/>
                    <a:ln>
                      <a:noFill/>
                    </a:ln>
                  </pic:spPr>
                </pic:pic>
              </a:graphicData>
            </a:graphic>
          </wp:inline>
        </w:drawing>
      </w:r>
      <w:r>
        <w:rPr>
          <w:rFonts w:hint="eastAsia" w:ascii="宋体" w:hAnsi="宋体" w:eastAsia="宋体" w:cs="宋体"/>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383540</wp:posOffset>
                </wp:positionH>
                <wp:positionV relativeFrom="paragraph">
                  <wp:posOffset>926465</wp:posOffset>
                </wp:positionV>
                <wp:extent cx="5133975" cy="9525"/>
                <wp:effectExtent l="0" t="0" r="9525" b="9525"/>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V="1">
                          <a:off x="0" y="0"/>
                          <a:ext cx="5133975" cy="9525"/>
                        </a:xfrm>
                        <a:prstGeom prst="line">
                          <a:avLst/>
                        </a:prstGeom>
                        <a:noFill/>
                        <a:ln w="25400" cmpd="sng">
                          <a:solidFill>
                            <a:srgbClr val="FF0000"/>
                          </a:solidFill>
                          <a:round/>
                        </a:ln>
                        <a:effectLst/>
                      </wps:spPr>
                      <wps:bodyPr/>
                    </wps:wsp>
                  </a:graphicData>
                </a:graphic>
              </wp:anchor>
            </w:drawing>
          </mc:Choice>
          <mc:Fallback>
            <w:pict>
              <v:line id="_x0000_s1026" o:spid="_x0000_s1026" o:spt="20" style="position:absolute;left:0pt;flip:y;margin-left:30.2pt;margin-top:72.95pt;height:0.75pt;width:404.25pt;z-index:251662336;mso-width-relative:page;mso-height-relative:page;" filled="f" stroked="t" coordsize="21600,21600" o:gfxdata="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qE1rWAAAACgEAAA8AAAAAAAAAAQAgAAAAIgAAAGRycy9kb3ducmV2&#10;LnhtbFBLAQIUABQAAAAIAIdO4kBOdz9S/gEAANMDAAAOAAAAAAAAAAEAIAAAACUBAABkcnMvZTJv&#10;RG9jLnhtbFBLBQYAAAAABgAGAFkBAACVBQAAAAA=&#10;">
                <v:fill on="f" focussize="0,0"/>
                <v:stroke weight="2pt" color="#FF0000" joinstyle="round"/>
                <v:imagedata o:title=""/>
                <o:lock v:ext="edit" aspectratio="f"/>
              </v:line>
            </w:pict>
          </mc:Fallback>
        </mc:AlternateContent>
      </w:r>
    </w:p>
    <w:p w14:paraId="5CA47A6F">
      <w:pPr>
        <w:spacing w:line="360" w:lineRule="auto"/>
        <w:ind w:left="480"/>
        <w:jc w:val="left"/>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具体内容如下表所示：</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374"/>
        <w:gridCol w:w="1319"/>
        <w:gridCol w:w="1451"/>
        <w:gridCol w:w="3323"/>
      </w:tblGrid>
      <w:tr w14:paraId="5F59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1ABF9B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序号</w:t>
            </w:r>
          </w:p>
        </w:tc>
        <w:tc>
          <w:tcPr>
            <w:tcW w:w="1278" w:type="pct"/>
            <w:vAlign w:val="center"/>
          </w:tcPr>
          <w:p w14:paraId="64358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工作内容</w:t>
            </w:r>
          </w:p>
        </w:tc>
        <w:tc>
          <w:tcPr>
            <w:tcW w:w="710" w:type="pct"/>
            <w:vAlign w:val="center"/>
          </w:tcPr>
          <w:p w14:paraId="355CC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w:t>
            </w:r>
          </w:p>
        </w:tc>
        <w:tc>
          <w:tcPr>
            <w:tcW w:w="781" w:type="pct"/>
            <w:vAlign w:val="center"/>
          </w:tcPr>
          <w:p w14:paraId="41B92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w:t>
            </w:r>
          </w:p>
        </w:tc>
        <w:tc>
          <w:tcPr>
            <w:tcW w:w="1789" w:type="pct"/>
            <w:vAlign w:val="center"/>
          </w:tcPr>
          <w:p w14:paraId="7D5F2D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备注</w:t>
            </w:r>
          </w:p>
        </w:tc>
      </w:tr>
      <w:tr w14:paraId="30A4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07294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1</w:t>
            </w:r>
          </w:p>
        </w:tc>
        <w:tc>
          <w:tcPr>
            <w:tcW w:w="1278" w:type="pct"/>
            <w:vAlign w:val="center"/>
          </w:tcPr>
          <w:p w14:paraId="069B3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厂房一次侧水</w:t>
            </w:r>
          </w:p>
        </w:tc>
        <w:tc>
          <w:tcPr>
            <w:tcW w:w="710" w:type="pct"/>
            <w:vAlign w:val="center"/>
          </w:tcPr>
          <w:p w14:paraId="207BAC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0FAE6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restart"/>
            <w:vAlign w:val="center"/>
          </w:tcPr>
          <w:p w14:paraId="356083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投标方负责提供动力配电柜的数量、参数、现场安装位置等技术要求及图纸</w:t>
            </w:r>
          </w:p>
        </w:tc>
      </w:tr>
      <w:tr w14:paraId="2604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8562F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2</w:t>
            </w:r>
          </w:p>
        </w:tc>
        <w:tc>
          <w:tcPr>
            <w:tcW w:w="1278" w:type="pct"/>
            <w:vAlign w:val="center"/>
          </w:tcPr>
          <w:p w14:paraId="7BB5E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厂房一次侧电</w:t>
            </w:r>
          </w:p>
        </w:tc>
        <w:tc>
          <w:tcPr>
            <w:tcW w:w="710" w:type="pct"/>
            <w:vAlign w:val="center"/>
          </w:tcPr>
          <w:p w14:paraId="1BBAA3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72A2E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14:paraId="0404767C">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594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5423D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3</w:t>
            </w:r>
          </w:p>
        </w:tc>
        <w:tc>
          <w:tcPr>
            <w:tcW w:w="1278" w:type="pct"/>
            <w:vAlign w:val="center"/>
          </w:tcPr>
          <w:p w14:paraId="068C33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厂房一次侧气</w:t>
            </w:r>
          </w:p>
        </w:tc>
        <w:tc>
          <w:tcPr>
            <w:tcW w:w="710" w:type="pct"/>
            <w:vAlign w:val="center"/>
          </w:tcPr>
          <w:p w14:paraId="04044E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38AA7E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Merge w:val="continue"/>
            <w:vAlign w:val="center"/>
          </w:tcPr>
          <w:p w14:paraId="0F5CD710">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363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5E505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4</w:t>
            </w:r>
          </w:p>
        </w:tc>
        <w:tc>
          <w:tcPr>
            <w:tcW w:w="1278" w:type="pct"/>
            <w:vAlign w:val="center"/>
          </w:tcPr>
          <w:p w14:paraId="631713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生产线二次侧水</w:t>
            </w:r>
          </w:p>
        </w:tc>
        <w:tc>
          <w:tcPr>
            <w:tcW w:w="710" w:type="pct"/>
            <w:vAlign w:val="center"/>
          </w:tcPr>
          <w:p w14:paraId="42AD3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31CD7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restart"/>
            <w:vAlign w:val="center"/>
          </w:tcPr>
          <w:p w14:paraId="36B8C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招标方将电源线接至投标方的电柜上方；投标方将压缩空气和循环水送至指定的位置，由投标方进行连接。</w:t>
            </w:r>
          </w:p>
        </w:tc>
      </w:tr>
      <w:tr w14:paraId="54DB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710EF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5</w:t>
            </w:r>
          </w:p>
        </w:tc>
        <w:tc>
          <w:tcPr>
            <w:tcW w:w="1278" w:type="pct"/>
            <w:vAlign w:val="center"/>
          </w:tcPr>
          <w:p w14:paraId="299F3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生产线二次侧电</w:t>
            </w:r>
          </w:p>
        </w:tc>
        <w:tc>
          <w:tcPr>
            <w:tcW w:w="710" w:type="pct"/>
            <w:vAlign w:val="center"/>
          </w:tcPr>
          <w:p w14:paraId="48782C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266CE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64B4C7CB">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5B33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FCCCB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6</w:t>
            </w:r>
          </w:p>
        </w:tc>
        <w:tc>
          <w:tcPr>
            <w:tcW w:w="1278" w:type="pct"/>
            <w:vAlign w:val="center"/>
          </w:tcPr>
          <w:p w14:paraId="21DBF6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生产线二次侧气</w:t>
            </w:r>
          </w:p>
        </w:tc>
        <w:tc>
          <w:tcPr>
            <w:tcW w:w="710" w:type="pct"/>
            <w:vAlign w:val="center"/>
          </w:tcPr>
          <w:p w14:paraId="5E41D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537004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34EEBBD9">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32F6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1F3FA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7</w:t>
            </w:r>
          </w:p>
        </w:tc>
        <w:tc>
          <w:tcPr>
            <w:tcW w:w="1278" w:type="pct"/>
            <w:vAlign w:val="center"/>
          </w:tcPr>
          <w:p w14:paraId="220D3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厂房照明</w:t>
            </w:r>
          </w:p>
        </w:tc>
        <w:tc>
          <w:tcPr>
            <w:tcW w:w="710" w:type="pct"/>
            <w:vAlign w:val="center"/>
          </w:tcPr>
          <w:p w14:paraId="5A5F0D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0404A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1789" w:type="pct"/>
            <w:vAlign w:val="center"/>
          </w:tcPr>
          <w:p w14:paraId="3D48C2EA">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1026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25342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8</w:t>
            </w:r>
          </w:p>
        </w:tc>
        <w:tc>
          <w:tcPr>
            <w:tcW w:w="1278" w:type="pct"/>
            <w:vAlign w:val="center"/>
          </w:tcPr>
          <w:p w14:paraId="7B2485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工位照明</w:t>
            </w:r>
          </w:p>
        </w:tc>
        <w:tc>
          <w:tcPr>
            <w:tcW w:w="710" w:type="pct"/>
            <w:vAlign w:val="center"/>
          </w:tcPr>
          <w:p w14:paraId="09062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6B6A69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529091AC">
            <w:pPr>
              <w:keepNext w:val="0"/>
              <w:keepLines w:val="0"/>
              <w:pageBreakBefore w:val="0"/>
              <w:widowControl w:val="0"/>
              <w:kinsoku/>
              <w:wordWrap/>
              <w:overflowPunct/>
              <w:topLinePunct w:val="0"/>
              <w:autoSpaceDE/>
              <w:autoSpaceDN/>
              <w:bidi w:val="0"/>
              <w:adjustRightInd/>
              <w:snapToGrid/>
              <w:spacing w:line="240" w:lineRule="auto"/>
              <w:ind w:left="480"/>
              <w:jc w:val="center"/>
              <w:textAlignment w:val="auto"/>
              <w:rPr>
                <w:rFonts w:hint="eastAsia" w:ascii="宋体" w:hAnsi="宋体" w:eastAsia="宋体" w:cs="宋体"/>
                <w:sz w:val="24"/>
                <w:szCs w:val="24"/>
                <w:highlight w:val="none"/>
                <w:lang w:bidi="zh-CN"/>
              </w:rPr>
            </w:pPr>
          </w:p>
        </w:tc>
      </w:tr>
      <w:tr w14:paraId="12EF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1" w:type="pct"/>
            <w:vAlign w:val="center"/>
          </w:tcPr>
          <w:p w14:paraId="4C8FA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9</w:t>
            </w:r>
          </w:p>
        </w:tc>
        <w:tc>
          <w:tcPr>
            <w:tcW w:w="1278" w:type="pct"/>
            <w:vAlign w:val="center"/>
          </w:tcPr>
          <w:p w14:paraId="109FE8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设备基础</w:t>
            </w:r>
          </w:p>
        </w:tc>
        <w:tc>
          <w:tcPr>
            <w:tcW w:w="710" w:type="pct"/>
            <w:vAlign w:val="center"/>
          </w:tcPr>
          <w:p w14:paraId="1986B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p>
        </w:tc>
        <w:tc>
          <w:tcPr>
            <w:tcW w:w="781" w:type="pct"/>
            <w:vAlign w:val="center"/>
          </w:tcPr>
          <w:p w14:paraId="7110D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3A7A35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投标方提供图纸和要求</w:t>
            </w:r>
          </w:p>
        </w:tc>
      </w:tr>
    </w:tbl>
    <w:p w14:paraId="40CF271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2.主要外购部件/材料选型表</w:t>
      </w:r>
    </w:p>
    <w:p w14:paraId="6C412C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1）所有的用电设备必须符合中国的标准，投标方应主动保证所提供的设备符合或通过中国法规的认证。</w:t>
      </w:r>
    </w:p>
    <w:p w14:paraId="27E534E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2）在投标方设备选型时，机械和电气元件尽可能选用同型号或种类的产品，</w:t>
      </w:r>
      <w:r>
        <w:rPr>
          <w:rFonts w:hint="eastAsia" w:ascii="宋体" w:hAnsi="宋体" w:eastAsia="宋体" w:cs="宋体"/>
          <w:sz w:val="24"/>
          <w:szCs w:val="24"/>
          <w:highlight w:val="none"/>
          <w:lang w:val="en-US" w:eastAsia="zh-CN"/>
        </w:rPr>
        <w:t>并与自动线体内相关设备品牌保持一致，</w:t>
      </w:r>
      <w:r>
        <w:rPr>
          <w:rFonts w:hint="eastAsia" w:ascii="宋体" w:hAnsi="宋体" w:eastAsia="宋体" w:cs="宋体"/>
          <w:sz w:val="24"/>
          <w:szCs w:val="24"/>
          <w:highlight w:val="none"/>
        </w:rPr>
        <w:t>以便减少备品备件种类。</w:t>
      </w:r>
    </w:p>
    <w:p w14:paraId="56C05BB5">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3）对于设备的品牌和材料，本标书未明确指定的，首先由投标方提出建议，最终经招标方评审通过并书面确认后实施。</w:t>
      </w:r>
    </w:p>
    <w:p w14:paraId="52B7EC69">
      <w:pPr>
        <w:pStyle w:val="133"/>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4）招标方推荐设备品牌选择清单如下表所示：</w:t>
      </w:r>
    </w:p>
    <w:p w14:paraId="68B326BC">
      <w:pPr>
        <w:spacing w:after="20"/>
        <w:ind w:left="253"/>
        <w:rPr>
          <w:rFonts w:hint="eastAsia" w:ascii="宋体" w:hAnsi="宋体" w:eastAsia="宋体" w:cs="宋体"/>
          <w:b/>
          <w:sz w:val="24"/>
          <w:szCs w:val="24"/>
          <w:highlight w:val="none"/>
        </w:rPr>
      </w:pPr>
      <w:r>
        <w:rPr>
          <w:rFonts w:hint="eastAsia" w:ascii="宋体" w:hAnsi="宋体" w:eastAsia="宋体" w:cs="宋体"/>
          <w:b/>
          <w:sz w:val="24"/>
          <w:szCs w:val="24"/>
          <w:highlight w:val="none"/>
        </w:rPr>
        <w:t>机械类</w:t>
      </w:r>
    </w:p>
    <w:tbl>
      <w:tblPr>
        <w:tblStyle w:val="38"/>
        <w:tblW w:w="4996" w:type="pct"/>
        <w:jc w:val="center"/>
        <w:tblLayout w:type="fixed"/>
        <w:tblCellMar>
          <w:top w:w="0" w:type="dxa"/>
          <w:left w:w="108" w:type="dxa"/>
          <w:bottom w:w="0" w:type="dxa"/>
          <w:right w:w="108" w:type="dxa"/>
        </w:tblCellMar>
      </w:tblPr>
      <w:tblGrid>
        <w:gridCol w:w="763"/>
        <w:gridCol w:w="2502"/>
        <w:gridCol w:w="3825"/>
        <w:gridCol w:w="2189"/>
      </w:tblGrid>
      <w:tr w14:paraId="0B4FD879">
        <w:tblPrEx>
          <w:tblCellMar>
            <w:top w:w="0" w:type="dxa"/>
            <w:left w:w="108" w:type="dxa"/>
            <w:bottom w:w="0" w:type="dxa"/>
            <w:right w:w="108" w:type="dxa"/>
          </w:tblCellMar>
        </w:tblPrEx>
        <w:trPr>
          <w:trHeight w:val="454" w:hRule="atLeast"/>
          <w:jc w:val="center"/>
        </w:trPr>
        <w:tc>
          <w:tcPr>
            <w:tcW w:w="411" w:type="pct"/>
            <w:tcBorders>
              <w:top w:val="single" w:color="auto" w:sz="4" w:space="0"/>
              <w:left w:val="single" w:color="auto" w:sz="4" w:space="0"/>
              <w:bottom w:val="single" w:color="auto" w:sz="4" w:space="0"/>
              <w:right w:val="single" w:color="auto" w:sz="4" w:space="0"/>
            </w:tcBorders>
            <w:vAlign w:val="center"/>
          </w:tcPr>
          <w:p w14:paraId="26D5AFE0">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348" w:type="pct"/>
            <w:tcBorders>
              <w:top w:val="single" w:color="auto" w:sz="4" w:space="0"/>
              <w:left w:val="nil"/>
              <w:bottom w:val="single" w:color="auto" w:sz="4" w:space="0"/>
              <w:right w:val="single" w:color="auto" w:sz="4" w:space="0"/>
            </w:tcBorders>
            <w:vAlign w:val="center"/>
          </w:tcPr>
          <w:p w14:paraId="003A660C">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2061" w:type="pct"/>
            <w:tcBorders>
              <w:top w:val="single" w:color="auto" w:sz="4" w:space="0"/>
              <w:left w:val="nil"/>
              <w:bottom w:val="single" w:color="auto" w:sz="4" w:space="0"/>
              <w:right w:val="single" w:color="auto" w:sz="4" w:space="0"/>
            </w:tcBorders>
            <w:vAlign w:val="center"/>
          </w:tcPr>
          <w:p w14:paraId="3E615FFF">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179" w:type="pct"/>
            <w:tcBorders>
              <w:top w:val="single" w:color="auto" w:sz="4" w:space="0"/>
              <w:left w:val="nil"/>
              <w:bottom w:val="single" w:color="auto" w:sz="4" w:space="0"/>
              <w:right w:val="single" w:color="auto" w:sz="4" w:space="0"/>
            </w:tcBorders>
            <w:vAlign w:val="center"/>
          </w:tcPr>
          <w:p w14:paraId="443D9900">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7B6536C7">
        <w:tblPrEx>
          <w:tblCellMar>
            <w:top w:w="0" w:type="dxa"/>
            <w:left w:w="108" w:type="dxa"/>
            <w:bottom w:w="0" w:type="dxa"/>
            <w:right w:w="108" w:type="dxa"/>
          </w:tblCellMar>
        </w:tblPrEx>
        <w:trPr>
          <w:trHeight w:val="454" w:hRule="atLeast"/>
          <w:jc w:val="center"/>
        </w:trPr>
        <w:tc>
          <w:tcPr>
            <w:tcW w:w="411" w:type="pct"/>
            <w:tcBorders>
              <w:top w:val="nil"/>
              <w:left w:val="single" w:color="auto" w:sz="4" w:space="0"/>
              <w:bottom w:val="single" w:color="auto" w:sz="4" w:space="0"/>
              <w:right w:val="single" w:color="auto" w:sz="4" w:space="0"/>
            </w:tcBorders>
            <w:vAlign w:val="center"/>
          </w:tcPr>
          <w:p w14:paraId="0BD04E9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348" w:type="pct"/>
            <w:tcBorders>
              <w:top w:val="nil"/>
              <w:left w:val="nil"/>
              <w:bottom w:val="single" w:color="auto" w:sz="4" w:space="0"/>
              <w:right w:val="single" w:color="auto" w:sz="4" w:space="0"/>
            </w:tcBorders>
            <w:vAlign w:val="center"/>
          </w:tcPr>
          <w:p w14:paraId="25727E10">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气缸</w:t>
            </w:r>
          </w:p>
        </w:tc>
        <w:tc>
          <w:tcPr>
            <w:tcW w:w="2061" w:type="pct"/>
            <w:tcBorders>
              <w:top w:val="nil"/>
              <w:left w:val="nil"/>
              <w:bottom w:val="single" w:color="auto" w:sz="4" w:space="0"/>
              <w:right w:val="single" w:color="auto" w:sz="4" w:space="0"/>
            </w:tcBorders>
            <w:vAlign w:val="center"/>
          </w:tcPr>
          <w:p w14:paraId="60ACDF45">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w:t>
            </w:r>
            <w:r>
              <w:rPr>
                <w:rFonts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lang w:val="en-US" w:eastAsia="zh-CN"/>
              </w:rPr>
              <w:t>DESTACO</w:t>
            </w:r>
            <w:r>
              <w:rPr>
                <w:rFonts w:hint="eastAsia" w:ascii="宋体" w:hAnsi="宋体" w:eastAsia="宋体" w:cs="宋体"/>
                <w:color w:val="000000"/>
                <w:kern w:val="0"/>
                <w:sz w:val="24"/>
                <w:szCs w:val="24"/>
                <w:highlight w:val="none"/>
              </w:rPr>
              <w:t>或同等品牌</w:t>
            </w:r>
          </w:p>
        </w:tc>
        <w:tc>
          <w:tcPr>
            <w:tcW w:w="1179" w:type="pct"/>
            <w:tcBorders>
              <w:top w:val="nil"/>
              <w:left w:val="nil"/>
              <w:bottom w:val="single" w:color="auto" w:sz="4" w:space="0"/>
              <w:right w:val="single" w:color="auto" w:sz="4" w:space="0"/>
            </w:tcBorders>
            <w:vAlign w:val="center"/>
          </w:tcPr>
          <w:p w14:paraId="60B2DDF8">
            <w:pPr>
              <w:widowControl/>
              <w:jc w:val="center"/>
              <w:rPr>
                <w:rFonts w:hint="default" w:ascii="宋体" w:hAnsi="宋体" w:eastAsia="宋体" w:cs="宋体"/>
                <w:color w:val="000000"/>
                <w:kern w:val="0"/>
                <w:sz w:val="24"/>
                <w:szCs w:val="24"/>
                <w:highlight w:val="none"/>
                <w:lang w:val="en-US" w:eastAsia="zh-CN"/>
              </w:rPr>
            </w:pPr>
          </w:p>
        </w:tc>
      </w:tr>
      <w:tr w14:paraId="46A5C80C">
        <w:tblPrEx>
          <w:tblCellMar>
            <w:top w:w="0" w:type="dxa"/>
            <w:left w:w="108" w:type="dxa"/>
            <w:bottom w:w="0" w:type="dxa"/>
            <w:right w:w="108" w:type="dxa"/>
          </w:tblCellMar>
        </w:tblPrEx>
        <w:trPr>
          <w:trHeight w:val="454" w:hRule="atLeast"/>
          <w:jc w:val="center"/>
        </w:trPr>
        <w:tc>
          <w:tcPr>
            <w:tcW w:w="411" w:type="pct"/>
            <w:tcBorders>
              <w:top w:val="nil"/>
              <w:left w:val="single" w:color="auto" w:sz="4" w:space="0"/>
              <w:bottom w:val="single" w:color="auto" w:sz="4" w:space="0"/>
              <w:right w:val="single" w:color="auto" w:sz="4" w:space="0"/>
            </w:tcBorders>
            <w:vAlign w:val="center"/>
          </w:tcPr>
          <w:p w14:paraId="51BDB436">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348" w:type="pct"/>
            <w:tcBorders>
              <w:top w:val="nil"/>
              <w:left w:val="nil"/>
              <w:bottom w:val="single" w:color="auto" w:sz="4" w:space="0"/>
              <w:right w:val="single" w:color="auto" w:sz="4" w:space="0"/>
            </w:tcBorders>
            <w:vAlign w:val="center"/>
          </w:tcPr>
          <w:p w14:paraId="0023DD2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气管、接头、气源处理、气动控制元件</w:t>
            </w:r>
          </w:p>
        </w:tc>
        <w:tc>
          <w:tcPr>
            <w:tcW w:w="2061" w:type="pct"/>
            <w:tcBorders>
              <w:top w:val="nil"/>
              <w:left w:val="nil"/>
              <w:bottom w:val="single" w:color="auto" w:sz="4" w:space="0"/>
              <w:right w:val="single" w:color="auto" w:sz="4" w:space="0"/>
            </w:tcBorders>
            <w:vAlign w:val="center"/>
          </w:tcPr>
          <w:p w14:paraId="10ABDD8B">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SMC或同等品牌</w:t>
            </w:r>
          </w:p>
        </w:tc>
        <w:tc>
          <w:tcPr>
            <w:tcW w:w="1179" w:type="pct"/>
            <w:tcBorders>
              <w:top w:val="nil"/>
              <w:left w:val="nil"/>
              <w:bottom w:val="single" w:color="auto" w:sz="4" w:space="0"/>
              <w:right w:val="single" w:color="auto" w:sz="4" w:space="0"/>
            </w:tcBorders>
            <w:vAlign w:val="center"/>
          </w:tcPr>
          <w:p w14:paraId="3AFE59B3">
            <w:pPr>
              <w:widowControl/>
              <w:jc w:val="center"/>
              <w:rPr>
                <w:rFonts w:hint="eastAsia" w:ascii="宋体" w:hAnsi="宋体" w:eastAsia="宋体" w:cs="宋体"/>
                <w:color w:val="000000"/>
                <w:kern w:val="0"/>
                <w:sz w:val="24"/>
                <w:szCs w:val="24"/>
                <w:highlight w:val="none"/>
              </w:rPr>
            </w:pPr>
          </w:p>
        </w:tc>
      </w:tr>
    </w:tbl>
    <w:p w14:paraId="5D223A1B">
      <w:pPr>
        <w:spacing w:before="22" w:after="21"/>
        <w:rPr>
          <w:rFonts w:hint="eastAsia" w:ascii="宋体" w:hAnsi="宋体" w:eastAsia="宋体" w:cs="宋体"/>
          <w:b/>
          <w:sz w:val="24"/>
          <w:szCs w:val="24"/>
          <w:highlight w:val="none"/>
        </w:rPr>
      </w:pPr>
    </w:p>
    <w:p w14:paraId="5CBACF07">
      <w:pPr>
        <w:spacing w:after="20"/>
        <w:ind w:left="253"/>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电气</w:t>
      </w:r>
      <w:r>
        <w:rPr>
          <w:rFonts w:hint="eastAsia" w:ascii="宋体" w:hAnsi="宋体" w:eastAsia="宋体" w:cs="宋体"/>
          <w:b/>
          <w:sz w:val="24"/>
          <w:szCs w:val="24"/>
          <w:highlight w:val="none"/>
          <w:lang w:val="en-US" w:eastAsia="zh-CN"/>
        </w:rPr>
        <w:t>类</w:t>
      </w:r>
    </w:p>
    <w:tbl>
      <w:tblPr>
        <w:tblStyle w:val="38"/>
        <w:tblW w:w="4996" w:type="pct"/>
        <w:jc w:val="center"/>
        <w:tblLayout w:type="autofit"/>
        <w:tblCellMar>
          <w:top w:w="0" w:type="dxa"/>
          <w:left w:w="108" w:type="dxa"/>
          <w:bottom w:w="0" w:type="dxa"/>
          <w:right w:w="108" w:type="dxa"/>
        </w:tblCellMar>
      </w:tblPr>
      <w:tblGrid>
        <w:gridCol w:w="856"/>
        <w:gridCol w:w="2237"/>
        <w:gridCol w:w="2861"/>
        <w:gridCol w:w="3325"/>
      </w:tblGrid>
      <w:tr w14:paraId="1EC63A7F">
        <w:tblPrEx>
          <w:tblCellMar>
            <w:top w:w="0" w:type="dxa"/>
            <w:left w:w="108" w:type="dxa"/>
            <w:bottom w:w="0" w:type="dxa"/>
            <w:right w:w="108" w:type="dxa"/>
          </w:tblCellMar>
        </w:tblPrEx>
        <w:trPr>
          <w:trHeight w:val="340" w:hRule="atLeast"/>
          <w:jc w:val="center"/>
        </w:trPr>
        <w:tc>
          <w:tcPr>
            <w:tcW w:w="461" w:type="pct"/>
            <w:tcBorders>
              <w:top w:val="single" w:color="auto" w:sz="4" w:space="0"/>
              <w:left w:val="single" w:color="auto" w:sz="4" w:space="0"/>
              <w:bottom w:val="single" w:color="auto" w:sz="4" w:space="0"/>
              <w:right w:val="single" w:color="auto" w:sz="4" w:space="0"/>
            </w:tcBorders>
            <w:vAlign w:val="center"/>
          </w:tcPr>
          <w:p w14:paraId="4EEEFEC9">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205" w:type="pct"/>
            <w:tcBorders>
              <w:top w:val="single" w:color="auto" w:sz="4" w:space="0"/>
              <w:left w:val="nil"/>
              <w:bottom w:val="single" w:color="auto" w:sz="4" w:space="0"/>
              <w:right w:val="single" w:color="auto" w:sz="4" w:space="0"/>
            </w:tcBorders>
            <w:vAlign w:val="center"/>
          </w:tcPr>
          <w:p w14:paraId="3D568D5A">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1541" w:type="pct"/>
            <w:tcBorders>
              <w:top w:val="single" w:color="auto" w:sz="4" w:space="0"/>
              <w:left w:val="nil"/>
              <w:bottom w:val="single" w:color="auto" w:sz="4" w:space="0"/>
              <w:right w:val="single" w:color="auto" w:sz="4" w:space="0"/>
            </w:tcBorders>
            <w:vAlign w:val="center"/>
          </w:tcPr>
          <w:p w14:paraId="56306EAC">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791" w:type="pct"/>
            <w:tcBorders>
              <w:top w:val="single" w:color="auto" w:sz="4" w:space="0"/>
              <w:left w:val="nil"/>
              <w:bottom w:val="single" w:color="auto" w:sz="4" w:space="0"/>
              <w:right w:val="single" w:color="auto" w:sz="4" w:space="0"/>
            </w:tcBorders>
            <w:vAlign w:val="center"/>
          </w:tcPr>
          <w:p w14:paraId="5EE6AFF3">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1AE24091">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77875F8A">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05" w:type="pct"/>
            <w:tcBorders>
              <w:top w:val="nil"/>
              <w:left w:val="nil"/>
              <w:bottom w:val="single" w:color="auto" w:sz="4" w:space="0"/>
              <w:right w:val="single" w:color="auto" w:sz="4" w:space="0"/>
            </w:tcBorders>
            <w:vAlign w:val="center"/>
          </w:tcPr>
          <w:p w14:paraId="72A56D7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PLC及相关元器件</w:t>
            </w:r>
          </w:p>
        </w:tc>
        <w:tc>
          <w:tcPr>
            <w:tcW w:w="1541" w:type="pct"/>
            <w:tcBorders>
              <w:top w:val="nil"/>
              <w:left w:val="nil"/>
              <w:bottom w:val="single" w:color="auto" w:sz="4" w:space="0"/>
              <w:right w:val="single" w:color="auto" w:sz="4" w:space="0"/>
            </w:tcBorders>
            <w:vAlign w:val="center"/>
          </w:tcPr>
          <w:p w14:paraId="129845F4">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21C17DF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Profinet通讯协议</w:t>
            </w:r>
          </w:p>
        </w:tc>
      </w:tr>
      <w:tr w14:paraId="31844669">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CA4E1D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05" w:type="pct"/>
            <w:tcBorders>
              <w:top w:val="nil"/>
              <w:left w:val="nil"/>
              <w:bottom w:val="single" w:color="auto" w:sz="4" w:space="0"/>
              <w:right w:val="single" w:color="auto" w:sz="4" w:space="0"/>
            </w:tcBorders>
            <w:vAlign w:val="center"/>
          </w:tcPr>
          <w:p w14:paraId="50702D66">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远程接口模块</w:t>
            </w:r>
          </w:p>
        </w:tc>
        <w:tc>
          <w:tcPr>
            <w:tcW w:w="1541" w:type="pct"/>
            <w:tcBorders>
              <w:top w:val="nil"/>
              <w:left w:val="nil"/>
              <w:bottom w:val="single" w:color="auto" w:sz="4" w:space="0"/>
              <w:right w:val="single" w:color="auto" w:sz="4" w:space="0"/>
            </w:tcBorders>
            <w:vAlign w:val="center"/>
          </w:tcPr>
          <w:p w14:paraId="2766770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694117B4">
            <w:pPr>
              <w:widowControl/>
              <w:jc w:val="center"/>
              <w:rPr>
                <w:rFonts w:hint="eastAsia" w:ascii="宋体" w:hAnsi="宋体" w:eastAsia="宋体" w:cs="宋体"/>
                <w:color w:val="000000"/>
                <w:kern w:val="0"/>
                <w:sz w:val="24"/>
                <w:szCs w:val="24"/>
                <w:highlight w:val="none"/>
                <w:lang w:eastAsia="zh-CN"/>
              </w:rPr>
            </w:pPr>
          </w:p>
        </w:tc>
      </w:tr>
      <w:tr w14:paraId="286B5E6C">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3BE5273F">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3</w:t>
            </w:r>
          </w:p>
        </w:tc>
        <w:tc>
          <w:tcPr>
            <w:tcW w:w="1205" w:type="pct"/>
            <w:tcBorders>
              <w:top w:val="nil"/>
              <w:left w:val="nil"/>
              <w:bottom w:val="single" w:color="auto" w:sz="4" w:space="0"/>
              <w:right w:val="single" w:color="auto" w:sz="4" w:space="0"/>
            </w:tcBorders>
            <w:vAlign w:val="center"/>
          </w:tcPr>
          <w:p w14:paraId="5F4574C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接近开关</w:t>
            </w:r>
          </w:p>
        </w:tc>
        <w:tc>
          <w:tcPr>
            <w:tcW w:w="1541" w:type="pct"/>
            <w:tcBorders>
              <w:top w:val="nil"/>
              <w:left w:val="nil"/>
              <w:bottom w:val="single" w:color="auto" w:sz="4" w:space="0"/>
              <w:right w:val="single" w:color="auto" w:sz="4" w:space="0"/>
            </w:tcBorders>
            <w:vAlign w:val="center"/>
          </w:tcPr>
          <w:p w14:paraId="24BDC43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5B3725D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带专用的接近开关保护套</w:t>
            </w:r>
          </w:p>
        </w:tc>
      </w:tr>
      <w:tr w14:paraId="6734B2D6">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4EA97A23">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4</w:t>
            </w:r>
          </w:p>
        </w:tc>
        <w:tc>
          <w:tcPr>
            <w:tcW w:w="1205" w:type="pct"/>
            <w:tcBorders>
              <w:top w:val="nil"/>
              <w:left w:val="nil"/>
              <w:bottom w:val="single" w:color="auto" w:sz="4" w:space="0"/>
              <w:right w:val="single" w:color="auto" w:sz="4" w:space="0"/>
            </w:tcBorders>
            <w:vAlign w:val="center"/>
          </w:tcPr>
          <w:p w14:paraId="60781D1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行程开关</w:t>
            </w:r>
          </w:p>
        </w:tc>
        <w:tc>
          <w:tcPr>
            <w:tcW w:w="1541" w:type="pct"/>
            <w:tcBorders>
              <w:top w:val="nil"/>
              <w:left w:val="nil"/>
              <w:bottom w:val="single" w:color="auto" w:sz="4" w:space="0"/>
              <w:right w:val="single" w:color="auto" w:sz="4" w:space="0"/>
            </w:tcBorders>
            <w:vAlign w:val="center"/>
          </w:tcPr>
          <w:p w14:paraId="3DE40A3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OMRON或同等品牌</w:t>
            </w:r>
          </w:p>
        </w:tc>
        <w:tc>
          <w:tcPr>
            <w:tcW w:w="1791" w:type="pct"/>
            <w:tcBorders>
              <w:top w:val="nil"/>
              <w:left w:val="nil"/>
              <w:bottom w:val="single" w:color="auto" w:sz="4" w:space="0"/>
              <w:right w:val="single" w:color="auto" w:sz="4" w:space="0"/>
            </w:tcBorders>
            <w:vAlign w:val="center"/>
          </w:tcPr>
          <w:p w14:paraId="6524BCEC">
            <w:pPr>
              <w:widowControl/>
              <w:jc w:val="center"/>
              <w:rPr>
                <w:rFonts w:hint="eastAsia" w:ascii="宋体" w:hAnsi="宋体" w:eastAsia="宋体" w:cs="宋体"/>
                <w:color w:val="000000"/>
                <w:kern w:val="0"/>
                <w:sz w:val="24"/>
                <w:szCs w:val="24"/>
                <w:highlight w:val="none"/>
                <w:lang w:eastAsia="zh-CN"/>
              </w:rPr>
            </w:pPr>
          </w:p>
        </w:tc>
      </w:tr>
      <w:tr w14:paraId="2C98F2C4">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F89E40A">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5</w:t>
            </w:r>
          </w:p>
        </w:tc>
        <w:tc>
          <w:tcPr>
            <w:tcW w:w="1205" w:type="pct"/>
            <w:tcBorders>
              <w:top w:val="nil"/>
              <w:left w:val="nil"/>
              <w:bottom w:val="single" w:color="auto" w:sz="4" w:space="0"/>
              <w:right w:val="single" w:color="auto" w:sz="4" w:space="0"/>
            </w:tcBorders>
            <w:vAlign w:val="center"/>
          </w:tcPr>
          <w:p w14:paraId="010F5F7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光电开光</w:t>
            </w:r>
          </w:p>
        </w:tc>
        <w:tc>
          <w:tcPr>
            <w:tcW w:w="1541" w:type="pct"/>
            <w:tcBorders>
              <w:top w:val="nil"/>
              <w:left w:val="nil"/>
              <w:bottom w:val="single" w:color="auto" w:sz="4" w:space="0"/>
              <w:right w:val="single" w:color="auto" w:sz="4" w:space="0"/>
            </w:tcBorders>
            <w:vAlign w:val="center"/>
          </w:tcPr>
          <w:p w14:paraId="739F208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138CB7C0">
            <w:pPr>
              <w:widowControl/>
              <w:jc w:val="center"/>
              <w:rPr>
                <w:rFonts w:hint="eastAsia" w:ascii="宋体" w:hAnsi="宋体" w:eastAsia="宋体" w:cs="宋体"/>
                <w:color w:val="000000"/>
                <w:kern w:val="0"/>
                <w:sz w:val="24"/>
                <w:szCs w:val="24"/>
                <w:highlight w:val="none"/>
                <w:lang w:eastAsia="zh-CN"/>
              </w:rPr>
            </w:pPr>
          </w:p>
        </w:tc>
      </w:tr>
      <w:tr w14:paraId="680036EC">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24C0A273">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6</w:t>
            </w:r>
          </w:p>
        </w:tc>
        <w:tc>
          <w:tcPr>
            <w:tcW w:w="1205" w:type="pct"/>
            <w:tcBorders>
              <w:top w:val="nil"/>
              <w:left w:val="nil"/>
              <w:bottom w:val="single" w:color="auto" w:sz="4" w:space="0"/>
              <w:right w:val="single" w:color="auto" w:sz="4" w:space="0"/>
            </w:tcBorders>
            <w:vAlign w:val="center"/>
          </w:tcPr>
          <w:p w14:paraId="5F3610C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安全光栅、扫描仪</w:t>
            </w:r>
          </w:p>
        </w:tc>
        <w:tc>
          <w:tcPr>
            <w:tcW w:w="1541" w:type="pct"/>
            <w:tcBorders>
              <w:top w:val="nil"/>
              <w:left w:val="nil"/>
              <w:bottom w:val="single" w:color="auto" w:sz="4" w:space="0"/>
              <w:right w:val="single" w:color="auto" w:sz="4" w:space="0"/>
            </w:tcBorders>
            <w:vAlign w:val="center"/>
          </w:tcPr>
          <w:p w14:paraId="5CEF7F0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14:paraId="1C5EF5AB">
            <w:pPr>
              <w:widowControl/>
              <w:jc w:val="center"/>
              <w:rPr>
                <w:rFonts w:hint="eastAsia" w:ascii="宋体" w:hAnsi="宋体" w:eastAsia="宋体" w:cs="宋体"/>
                <w:color w:val="000000"/>
                <w:kern w:val="0"/>
                <w:sz w:val="24"/>
                <w:szCs w:val="24"/>
                <w:highlight w:val="none"/>
                <w:lang w:eastAsia="zh-CN"/>
              </w:rPr>
            </w:pPr>
          </w:p>
        </w:tc>
      </w:tr>
      <w:tr w14:paraId="75AAA320">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32A5C7AB">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7</w:t>
            </w:r>
          </w:p>
        </w:tc>
        <w:tc>
          <w:tcPr>
            <w:tcW w:w="1205" w:type="pct"/>
            <w:tcBorders>
              <w:top w:val="nil"/>
              <w:left w:val="nil"/>
              <w:bottom w:val="single" w:color="auto" w:sz="4" w:space="0"/>
              <w:right w:val="single" w:color="auto" w:sz="4" w:space="0"/>
            </w:tcBorders>
            <w:vAlign w:val="center"/>
          </w:tcPr>
          <w:p w14:paraId="7D7BECF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安全门锁</w:t>
            </w:r>
          </w:p>
        </w:tc>
        <w:tc>
          <w:tcPr>
            <w:tcW w:w="1541" w:type="pct"/>
            <w:tcBorders>
              <w:top w:val="nil"/>
              <w:left w:val="nil"/>
              <w:bottom w:val="single" w:color="auto" w:sz="4" w:space="0"/>
              <w:right w:val="single" w:color="auto" w:sz="4" w:space="0"/>
            </w:tcBorders>
            <w:vAlign w:val="center"/>
          </w:tcPr>
          <w:p w14:paraId="3BFB9A5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w:t>
            </w:r>
            <w:r>
              <w:rPr>
                <w:rFonts w:hint="eastAsia" w:ascii="宋体" w:hAnsi="宋体" w:eastAsia="宋体" w:cs="宋体"/>
                <w:color w:val="000000"/>
                <w:kern w:val="0"/>
                <w:sz w:val="24"/>
                <w:szCs w:val="24"/>
                <w:highlight w:val="none"/>
                <w:lang w:val="en-US" w:eastAsia="zh-CN"/>
              </w:rPr>
              <w:t>/</w:t>
            </w:r>
            <w:r>
              <w:rPr>
                <w:rFonts w:hint="eastAsia" w:ascii="宋体" w:hAnsi="宋体" w:eastAsia="宋体" w:cs="宋体"/>
                <w:color w:val="000000"/>
                <w:kern w:val="0"/>
                <w:sz w:val="24"/>
                <w:szCs w:val="24"/>
                <w:highlight w:val="none"/>
              </w:rPr>
              <w:t>基恩士或同等品牌</w:t>
            </w:r>
          </w:p>
        </w:tc>
        <w:tc>
          <w:tcPr>
            <w:tcW w:w="1791" w:type="pct"/>
            <w:tcBorders>
              <w:top w:val="nil"/>
              <w:left w:val="nil"/>
              <w:bottom w:val="single" w:color="auto" w:sz="4" w:space="0"/>
              <w:right w:val="single" w:color="auto" w:sz="4" w:space="0"/>
            </w:tcBorders>
            <w:vAlign w:val="center"/>
          </w:tcPr>
          <w:p w14:paraId="24242018">
            <w:pPr>
              <w:widowControl/>
              <w:jc w:val="center"/>
              <w:rPr>
                <w:rFonts w:hint="eastAsia" w:ascii="宋体" w:hAnsi="宋体" w:eastAsia="宋体" w:cs="宋体"/>
                <w:color w:val="000000"/>
                <w:kern w:val="0"/>
                <w:sz w:val="24"/>
                <w:szCs w:val="24"/>
                <w:highlight w:val="none"/>
                <w:lang w:eastAsia="zh-CN"/>
              </w:rPr>
            </w:pPr>
          </w:p>
        </w:tc>
      </w:tr>
      <w:tr w14:paraId="3DDE9150">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47BCCDE6">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8</w:t>
            </w:r>
          </w:p>
        </w:tc>
        <w:tc>
          <w:tcPr>
            <w:tcW w:w="1205" w:type="pct"/>
            <w:tcBorders>
              <w:top w:val="nil"/>
              <w:left w:val="nil"/>
              <w:bottom w:val="single" w:color="auto" w:sz="4" w:space="0"/>
              <w:right w:val="single" w:color="auto" w:sz="4" w:space="0"/>
            </w:tcBorders>
            <w:vAlign w:val="center"/>
          </w:tcPr>
          <w:p w14:paraId="1A22B74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动力电缆</w:t>
            </w:r>
          </w:p>
        </w:tc>
        <w:tc>
          <w:tcPr>
            <w:tcW w:w="1541" w:type="pct"/>
            <w:tcBorders>
              <w:top w:val="nil"/>
              <w:left w:val="nil"/>
              <w:bottom w:val="single" w:color="auto" w:sz="4" w:space="0"/>
              <w:right w:val="single" w:color="auto" w:sz="4" w:space="0"/>
            </w:tcBorders>
            <w:vAlign w:val="center"/>
          </w:tcPr>
          <w:p w14:paraId="1966DA5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远东或同等品牌</w:t>
            </w:r>
          </w:p>
        </w:tc>
        <w:tc>
          <w:tcPr>
            <w:tcW w:w="1791" w:type="pct"/>
            <w:tcBorders>
              <w:top w:val="nil"/>
              <w:left w:val="nil"/>
              <w:bottom w:val="single" w:color="auto" w:sz="4" w:space="0"/>
              <w:right w:val="single" w:color="auto" w:sz="4" w:space="0"/>
            </w:tcBorders>
            <w:vAlign w:val="center"/>
          </w:tcPr>
          <w:p w14:paraId="7B5A8996">
            <w:pPr>
              <w:widowControl/>
              <w:jc w:val="center"/>
              <w:rPr>
                <w:rFonts w:hint="eastAsia" w:ascii="宋体" w:hAnsi="宋体" w:eastAsia="宋体" w:cs="宋体"/>
                <w:color w:val="000000"/>
                <w:kern w:val="0"/>
                <w:sz w:val="24"/>
                <w:szCs w:val="24"/>
                <w:highlight w:val="none"/>
                <w:lang w:eastAsia="zh-CN"/>
              </w:rPr>
            </w:pPr>
          </w:p>
        </w:tc>
      </w:tr>
      <w:tr w14:paraId="10121EB7">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2D11C84">
            <w:pPr>
              <w:widowControl/>
              <w:jc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val="en-US" w:eastAsia="zh-CN"/>
              </w:rPr>
              <w:t>9</w:t>
            </w:r>
          </w:p>
        </w:tc>
        <w:tc>
          <w:tcPr>
            <w:tcW w:w="1205" w:type="pct"/>
            <w:tcBorders>
              <w:top w:val="nil"/>
              <w:left w:val="nil"/>
              <w:bottom w:val="single" w:color="auto" w:sz="4" w:space="0"/>
              <w:right w:val="single" w:color="auto" w:sz="4" w:space="0"/>
            </w:tcBorders>
            <w:vAlign w:val="center"/>
          </w:tcPr>
          <w:p w14:paraId="2F8B66CE">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柔性电缆</w:t>
            </w:r>
          </w:p>
        </w:tc>
        <w:tc>
          <w:tcPr>
            <w:tcW w:w="1541" w:type="pct"/>
            <w:tcBorders>
              <w:top w:val="nil"/>
              <w:left w:val="nil"/>
              <w:bottom w:val="single" w:color="auto" w:sz="4" w:space="0"/>
              <w:right w:val="single" w:color="auto" w:sz="4" w:space="0"/>
            </w:tcBorders>
            <w:vAlign w:val="center"/>
          </w:tcPr>
          <w:p w14:paraId="2EC705E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和柔或同等品牌</w:t>
            </w:r>
          </w:p>
        </w:tc>
        <w:tc>
          <w:tcPr>
            <w:tcW w:w="1791" w:type="pct"/>
            <w:tcBorders>
              <w:top w:val="nil"/>
              <w:left w:val="nil"/>
              <w:bottom w:val="single" w:color="auto" w:sz="4" w:space="0"/>
              <w:right w:val="single" w:color="auto" w:sz="4" w:space="0"/>
            </w:tcBorders>
            <w:vAlign w:val="center"/>
          </w:tcPr>
          <w:p w14:paraId="6C51BE88">
            <w:pPr>
              <w:widowControl/>
              <w:jc w:val="center"/>
              <w:rPr>
                <w:rFonts w:hint="eastAsia" w:ascii="宋体" w:hAnsi="宋体" w:eastAsia="宋体" w:cs="宋体"/>
                <w:color w:val="000000"/>
                <w:kern w:val="0"/>
                <w:sz w:val="24"/>
                <w:szCs w:val="24"/>
                <w:highlight w:val="none"/>
                <w:lang w:eastAsia="zh-CN"/>
              </w:rPr>
            </w:pPr>
          </w:p>
        </w:tc>
      </w:tr>
      <w:tr w14:paraId="5E1B5779">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F86DE0A">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10</w:t>
            </w:r>
          </w:p>
        </w:tc>
        <w:tc>
          <w:tcPr>
            <w:tcW w:w="1205" w:type="pct"/>
            <w:tcBorders>
              <w:top w:val="nil"/>
              <w:left w:val="nil"/>
              <w:bottom w:val="single" w:color="auto" w:sz="4" w:space="0"/>
              <w:right w:val="single" w:color="auto" w:sz="4" w:space="0"/>
            </w:tcBorders>
            <w:vAlign w:val="center"/>
          </w:tcPr>
          <w:p w14:paraId="441DBB8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通信电缆</w:t>
            </w:r>
          </w:p>
        </w:tc>
        <w:tc>
          <w:tcPr>
            <w:tcW w:w="1541" w:type="pct"/>
            <w:tcBorders>
              <w:top w:val="nil"/>
              <w:left w:val="nil"/>
              <w:bottom w:val="single" w:color="auto" w:sz="4" w:space="0"/>
              <w:right w:val="single" w:color="auto" w:sz="4" w:space="0"/>
            </w:tcBorders>
            <w:vAlign w:val="center"/>
          </w:tcPr>
          <w:p w14:paraId="1C7CB95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1" w:type="pct"/>
            <w:tcBorders>
              <w:top w:val="nil"/>
              <w:left w:val="nil"/>
              <w:bottom w:val="single" w:color="auto" w:sz="4" w:space="0"/>
              <w:right w:val="single" w:color="auto" w:sz="4" w:space="0"/>
            </w:tcBorders>
            <w:vAlign w:val="center"/>
          </w:tcPr>
          <w:p w14:paraId="415048D1">
            <w:pPr>
              <w:widowControl/>
              <w:jc w:val="center"/>
              <w:rPr>
                <w:rFonts w:hint="eastAsia" w:ascii="宋体" w:hAnsi="宋体" w:eastAsia="宋体" w:cs="宋体"/>
                <w:color w:val="000000"/>
                <w:kern w:val="0"/>
                <w:sz w:val="24"/>
                <w:szCs w:val="24"/>
                <w:highlight w:val="none"/>
                <w:lang w:eastAsia="zh-CN"/>
              </w:rPr>
            </w:pPr>
          </w:p>
        </w:tc>
      </w:tr>
      <w:tr w14:paraId="5BC00292">
        <w:tblPrEx>
          <w:tblCellMar>
            <w:top w:w="0" w:type="dxa"/>
            <w:left w:w="108" w:type="dxa"/>
            <w:bottom w:w="0" w:type="dxa"/>
            <w:right w:w="108" w:type="dxa"/>
          </w:tblCellMar>
        </w:tblPrEx>
        <w:trPr>
          <w:trHeight w:val="340" w:hRule="atLeast"/>
          <w:jc w:val="center"/>
        </w:trPr>
        <w:tc>
          <w:tcPr>
            <w:tcW w:w="461" w:type="pct"/>
            <w:tcBorders>
              <w:top w:val="nil"/>
              <w:left w:val="single" w:color="auto" w:sz="4" w:space="0"/>
              <w:bottom w:val="single" w:color="auto" w:sz="4" w:space="0"/>
              <w:right w:val="single" w:color="auto" w:sz="4" w:space="0"/>
            </w:tcBorders>
            <w:vAlign w:val="center"/>
          </w:tcPr>
          <w:p w14:paraId="6C967D7F">
            <w:pPr>
              <w:widowControl/>
              <w:jc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11</w:t>
            </w:r>
          </w:p>
        </w:tc>
        <w:tc>
          <w:tcPr>
            <w:tcW w:w="1205" w:type="pct"/>
            <w:tcBorders>
              <w:top w:val="nil"/>
              <w:left w:val="nil"/>
              <w:bottom w:val="single" w:color="auto" w:sz="4" w:space="0"/>
              <w:right w:val="single" w:color="auto" w:sz="4" w:space="0"/>
            </w:tcBorders>
            <w:vAlign w:val="center"/>
          </w:tcPr>
          <w:p w14:paraId="7CED709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信号线</w:t>
            </w:r>
          </w:p>
        </w:tc>
        <w:tc>
          <w:tcPr>
            <w:tcW w:w="1541" w:type="pct"/>
            <w:tcBorders>
              <w:top w:val="nil"/>
              <w:left w:val="nil"/>
              <w:bottom w:val="single" w:color="auto" w:sz="4" w:space="0"/>
              <w:right w:val="single" w:color="auto" w:sz="4" w:space="0"/>
            </w:tcBorders>
            <w:vAlign w:val="center"/>
          </w:tcPr>
          <w:p w14:paraId="45EC596E">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1" w:type="pct"/>
            <w:tcBorders>
              <w:top w:val="nil"/>
              <w:left w:val="nil"/>
              <w:bottom w:val="single" w:color="auto" w:sz="4" w:space="0"/>
              <w:right w:val="single" w:color="auto" w:sz="4" w:space="0"/>
            </w:tcBorders>
            <w:vAlign w:val="center"/>
          </w:tcPr>
          <w:p w14:paraId="1EF9CBF3">
            <w:pPr>
              <w:widowControl/>
              <w:jc w:val="center"/>
              <w:rPr>
                <w:rFonts w:hint="eastAsia" w:ascii="宋体" w:hAnsi="宋体" w:eastAsia="宋体" w:cs="宋体"/>
                <w:color w:val="000000"/>
                <w:kern w:val="0"/>
                <w:sz w:val="24"/>
                <w:szCs w:val="24"/>
                <w:highlight w:val="none"/>
                <w:lang w:eastAsia="zh-CN"/>
              </w:rPr>
            </w:pPr>
          </w:p>
        </w:tc>
      </w:tr>
    </w:tbl>
    <w:p w14:paraId="3C8F774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5）若涉及机器人相关设备，机器人所选择品牌、型号、数量及产地需在投标文件中明确。</w:t>
      </w:r>
    </w:p>
    <w:p w14:paraId="03CE69E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6）生产线的传感器、感应开关适用于焊装现场的抗强磁环境，具体选用品牌需在标书中明确。</w:t>
      </w:r>
    </w:p>
    <w:p w14:paraId="1FF18D9E">
      <w:pPr>
        <w:spacing w:line="360" w:lineRule="auto"/>
        <w:ind w:firstLine="560" w:firstLineChars="200"/>
        <w:rPr>
          <w:rFonts w:hint="eastAsia" w:ascii="宋体" w:hAnsi="宋体" w:eastAsia="等线" w:cs="宋体"/>
          <w:sz w:val="28"/>
          <w:szCs w:val="28"/>
          <w:highlight w:val="none"/>
        </w:rPr>
      </w:pPr>
      <w:r>
        <w:rPr>
          <w:rFonts w:ascii="宋体" w:hAnsi="宋体" w:eastAsia="等线" w:cs="宋体"/>
          <w:sz w:val="28"/>
          <w:szCs w:val="28"/>
          <w:highlight w:val="none"/>
        </w:rPr>
        <w:br w:type="page"/>
      </w:r>
    </w:p>
    <w:p w14:paraId="0DD8DD92">
      <w:pPr>
        <w:keepNext/>
        <w:keepLines/>
        <w:spacing w:before="120" w:after="120" w:line="360" w:lineRule="auto"/>
        <w:jc w:val="center"/>
        <w:outlineLvl w:val="0"/>
        <w:rPr>
          <w:rFonts w:hint="eastAsia" w:ascii="黑体" w:hAnsi="黑体" w:eastAsia="黑体" w:cs="黑体"/>
          <w:kern w:val="44"/>
          <w:sz w:val="28"/>
          <w:szCs w:val="28"/>
          <w:highlight w:val="none"/>
        </w:rPr>
      </w:pPr>
      <w:bookmarkStart w:id="36" w:name="_Toc20308"/>
      <w:bookmarkStart w:id="37" w:name="_Toc28293"/>
      <w:r>
        <w:rPr>
          <w:rFonts w:hint="eastAsia" w:ascii="黑体" w:hAnsi="黑体" w:eastAsia="黑体" w:cs="黑体"/>
          <w:kern w:val="44"/>
          <w:sz w:val="28"/>
          <w:szCs w:val="28"/>
          <w:highlight w:val="none"/>
        </w:rPr>
        <w:t>第二章</w:t>
      </w:r>
      <w:r>
        <w:rPr>
          <w:rFonts w:ascii="黑体" w:hAnsi="黑体" w:eastAsia="黑体" w:cs="黑体"/>
          <w:kern w:val="44"/>
          <w:sz w:val="28"/>
          <w:szCs w:val="28"/>
          <w:highlight w:val="none"/>
        </w:rPr>
        <w:t xml:space="preserve">  </w:t>
      </w:r>
      <w:r>
        <w:rPr>
          <w:rFonts w:hint="eastAsia" w:ascii="黑体" w:hAnsi="黑体" w:eastAsia="黑体" w:cs="黑体"/>
          <w:kern w:val="44"/>
          <w:sz w:val="28"/>
          <w:szCs w:val="28"/>
          <w:highlight w:val="none"/>
        </w:rPr>
        <w:t>技术要求</w:t>
      </w:r>
      <w:bookmarkEnd w:id="35"/>
      <w:bookmarkEnd w:id="36"/>
      <w:bookmarkEnd w:id="37"/>
    </w:p>
    <w:p w14:paraId="4AE95355">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一、特别提示</w:t>
      </w:r>
    </w:p>
    <w:p w14:paraId="58A5687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、本章技术要求，仅对功能、设计、结构、性能、安装和试验检验等方面，提出了最低和一般性的技术要求，并未对一切技术细节作出规定。</w:t>
      </w:r>
    </w:p>
    <w:p w14:paraId="00E4173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、本技术要求所使用的标准、规范等，如与投标方所执行的标准、规范不一致时，应按高于本技术要求所列的标准、规范执行。</w:t>
      </w:r>
    </w:p>
    <w:p w14:paraId="077AF90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、投标方认为所供货物必需由招标方配备、解决或提供的其它要求，如设备基础隔振和减振设施、软化水、洁净气源等，均应在投标文件“技术偏离”中予以充分说明。</w:t>
      </w:r>
    </w:p>
    <w:p w14:paraId="1C38CD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根据招投标货物具体要求，提出对厂房、设备基础（或安装平台）、公用设施、消防、环保等超出招标文件、投标文件、答疑文件、技术交流文件、技术协议书和合同等规定的、有特殊需要的解释、说明和要求。</w:t>
      </w:r>
    </w:p>
    <w:p w14:paraId="0B78C68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、无论是否有技术偏离，投标方均应在投标文件“技术偏离”中明确作出有无说明。若有异议，不管是多么微小，投标方必须予以明确和详细的说明或澄清。</w:t>
      </w:r>
    </w:p>
    <w:p w14:paraId="21A4426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、为避免投标方优势在招标评审时漏项，质保期超出本技术标书要求的，应当在投标文件“技术偏离”中特别注明。</w:t>
      </w:r>
    </w:p>
    <w:p w14:paraId="605F29A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、投标文件中，针对“特别提示”条款所做的回应，将作为投标方能否中标的重要依据之一。</w:t>
      </w:r>
    </w:p>
    <w:p w14:paraId="1F2DE9B1">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二、基本要求</w:t>
      </w:r>
    </w:p>
    <w:p w14:paraId="362EB96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、投标方所供的货物，必须符合中国最新版的法律、法规和相关标准、规范的要求，符合项目所在地政府有关特殊要求。</w:t>
      </w:r>
    </w:p>
    <w:p w14:paraId="4CCA671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、投标方所供货物涉及的专利权技术以及知识产权保护的其它技术等，应保证招标方不因此受到任何侵权指控以及实际损失。</w:t>
      </w:r>
    </w:p>
    <w:p w14:paraId="5FCBC85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、投标方应保证所供货物的先进性、可靠性、经济性和实用性，并为全新货物（或设备）。</w:t>
      </w:r>
    </w:p>
    <w:p w14:paraId="542A151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、投标方应满足招标方提出的各项技术要求，必要时应当免费提供技术承诺或担保。</w:t>
      </w:r>
    </w:p>
    <w:p w14:paraId="349DFA7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、投标方应保证所供货物（或设备）为中国政府指定或规定的主管部门公布的非淘汰货物（或设备），并尽力提供中国政府指定或规定的主管部门认可的环保型和节能型货物（或设备）。</w:t>
      </w:r>
    </w:p>
    <w:p w14:paraId="6DA1450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、投标方应保证所供货物的完整性和成套性，能保证货物的正常运行、使用。</w:t>
      </w:r>
    </w:p>
    <w:p w14:paraId="5BB670E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、投标方应对招标方采购的货物所涉及的技术、产能等信息负有保密义务，招标方拥有追究投标方泄密责任的权利；招标方如有需要，投标方应无条件签署保密协议。</w:t>
      </w:r>
    </w:p>
    <w:p w14:paraId="1EC475F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8、程序图纸要求</w:t>
      </w:r>
    </w:p>
    <w:p w14:paraId="2A5D82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8.1 供方必须提供所有设备程序的源代码，包括但不限于 PLC程序、HMI 程序、机器人程序、视觉程序、伺服等。</w:t>
      </w:r>
    </w:p>
    <w:p w14:paraId="10E1E9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8.2 供方所提供的程序不得设置任何密码、保护等限制手段，PLC 不得设置修改下载权限，功能块不得设置密码保护。</w:t>
      </w:r>
    </w:p>
    <w:p w14:paraId="62DEB2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8.3 HMI 界面等需要密码保护的程序，供方必须提供所有级别的用户名、密码。</w:t>
      </w:r>
    </w:p>
    <w:p w14:paraId="06A8693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8.4 供方需在设备入场前提供设备程序源码，HMI 界面各级用户名和密码，并保证与现场程序一致。</w:t>
      </w:r>
    </w:p>
    <w:p w14:paraId="05CAF8F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8.5 供方需在终验收前提供最新的设备程序源码和电气图纸，图纸要求为可编辑原格式（EPLAN、CAD 格式）且与实际接线一致。</w:t>
      </w:r>
    </w:p>
    <w:p w14:paraId="473D3CB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9、接口协议要求</w:t>
      </w:r>
    </w:p>
    <w:p w14:paraId="622607A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9.1 供方免费开放所有通讯接口，包括但不限于以太网、RS232、RS485、PROFIBUS、PROFINET、MODBUS 等常见接口，以及设备特有的专用接口。</w:t>
      </w:r>
    </w:p>
    <w:p w14:paraId="596898B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9.2 供方免费提供数据交互功能，交互数据包括但不限于实时数据、历史数据、报警信息等。</w:t>
      </w:r>
    </w:p>
    <w:p w14:paraId="24D8F66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9.3 供方在设备入场前提供接口的技术文档和参数说明，包括但不限于接口协议、通讯速率、数据格式等。</w:t>
      </w:r>
    </w:p>
    <w:p w14:paraId="1A6272E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9.4 设备使用周期内，供方免费派遣技术人员与甲方调试团队共同进行设备通讯接口的调试工作。</w:t>
      </w:r>
    </w:p>
    <w:p w14:paraId="27FF5FF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7310665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11、设备颜色符合《Q-ZZ30070设备设施颜色标识》规定，外观无明显缺陷，重新焊接完成后，对焊接位置进行重新刷漆。</w:t>
      </w:r>
    </w:p>
    <w:p w14:paraId="4D49B946">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三、执行标准</w:t>
      </w:r>
    </w:p>
    <w:p w14:paraId="69D98F0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、招标方此处所列标准仅为涉及的主要标准，而且不保证其为最新版执行标准；投标方应当在投标文件中认真予以填写、补充和修改完善。</w:t>
      </w:r>
    </w:p>
    <w:p w14:paraId="6A9F4AC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、投标方需要执行的标准，应当采用所供货物通过招标方组织的最终验收之日已经开始执行的最新标准。</w:t>
      </w:r>
    </w:p>
    <w:p w14:paraId="5D855F4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、采购货物的产品质量、技术标准如在招投标文件中无相应说明，则按中华人民共和国有关部门颁发的最新的国标或专业（部）标准执行及相应的国际标准。</w:t>
      </w:r>
    </w:p>
    <w:p w14:paraId="340F56D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、采购货物没有国家或专业（部）标准的，按企业标准执行时，投标方应在合同签署之前，将所涉及的企业标准提供给招标方确认。</w:t>
      </w:r>
    </w:p>
    <w:p w14:paraId="128E901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、采购货物如果采用国际标准，其执行标准由投标方提供、招标方确认。</w:t>
      </w:r>
    </w:p>
    <w:p w14:paraId="6CD99A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、采购货物所涉及的标准不统一时，原则上按照最严格标准执行。</w:t>
      </w:r>
    </w:p>
    <w:p w14:paraId="013A2D1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、主要适用的标准如下：</w:t>
      </w:r>
    </w:p>
    <w:p w14:paraId="129D1EC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DB37/2376-2019</w:t>
      </w:r>
      <w:r>
        <w:rPr>
          <w:rFonts w:hint="eastAsia" w:ascii="宋体" w:hAnsi="宋体" w:eastAsia="宋体" w:cs="宋体"/>
          <w:sz w:val="24"/>
          <w:szCs w:val="24"/>
          <w:highlight w:val="none"/>
        </w:rPr>
        <w:t>《区域性大气污染物综合排放标准》表</w:t>
      </w:r>
      <w:r>
        <w:rPr>
          <w:rFonts w:ascii="宋体" w:hAnsi="宋体" w:eastAsia="宋体" w:cs="宋体"/>
          <w:sz w:val="24"/>
          <w:szCs w:val="24"/>
          <w:highlight w:val="none"/>
        </w:rPr>
        <w:t>1</w:t>
      </w:r>
      <w:r>
        <w:rPr>
          <w:rFonts w:hint="eastAsia" w:ascii="宋体" w:hAnsi="宋体" w:eastAsia="宋体" w:cs="宋体"/>
          <w:sz w:val="24"/>
          <w:szCs w:val="24"/>
          <w:highlight w:val="none"/>
        </w:rPr>
        <w:t>重点控制区限值要求</w:t>
      </w:r>
    </w:p>
    <w:p w14:paraId="7E744BC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GB12348</w:t>
      </w:r>
      <w:r>
        <w:rPr>
          <w:rFonts w:hint="eastAsia" w:ascii="宋体" w:hAnsi="宋体" w:eastAsia="宋体" w:cs="宋体"/>
          <w:sz w:val="24"/>
          <w:szCs w:val="24"/>
          <w:highlight w:val="none"/>
        </w:rPr>
        <w:t>－</w:t>
      </w:r>
      <w:r>
        <w:rPr>
          <w:rFonts w:ascii="宋体" w:hAnsi="宋体" w:eastAsia="宋体" w:cs="宋体"/>
          <w:sz w:val="24"/>
          <w:szCs w:val="24"/>
          <w:highlight w:val="none"/>
        </w:rPr>
        <w:t xml:space="preserve">2008 </w:t>
      </w:r>
      <w:r>
        <w:rPr>
          <w:rFonts w:hint="eastAsia" w:ascii="宋体" w:hAnsi="宋体" w:eastAsia="宋体" w:cs="宋体"/>
          <w:sz w:val="24"/>
          <w:szCs w:val="24"/>
          <w:highlight w:val="none"/>
        </w:rPr>
        <w:t>《工业企业厂界环境噪声排放标准》中</w:t>
      </w:r>
      <w:r>
        <w:rPr>
          <w:rFonts w:ascii="宋体" w:hAnsi="宋体" w:eastAsia="宋体" w:cs="宋体"/>
          <w:sz w:val="24"/>
          <w:szCs w:val="24"/>
          <w:highlight w:val="none"/>
        </w:rPr>
        <w:t>2</w:t>
      </w:r>
      <w:r>
        <w:rPr>
          <w:rFonts w:hint="eastAsia" w:ascii="宋体" w:hAnsi="宋体" w:eastAsia="宋体" w:cs="宋体"/>
          <w:sz w:val="24"/>
          <w:szCs w:val="24"/>
          <w:highlight w:val="none"/>
        </w:rPr>
        <w:t>类标准</w:t>
      </w:r>
    </w:p>
    <w:p w14:paraId="05C3128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GB3095-2012 </w:t>
      </w:r>
      <w:r>
        <w:rPr>
          <w:rFonts w:hint="eastAsia" w:ascii="宋体" w:hAnsi="宋体" w:eastAsia="宋体" w:cs="宋体"/>
          <w:sz w:val="24"/>
          <w:szCs w:val="24"/>
          <w:highlight w:val="none"/>
        </w:rPr>
        <w:t>《环境空气质量标准》二级标准</w:t>
      </w:r>
    </w:p>
    <w:p w14:paraId="0B37FCF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GB/T 18883-2022 </w:t>
      </w:r>
      <w:r>
        <w:rPr>
          <w:rFonts w:hint="eastAsia" w:ascii="宋体" w:hAnsi="宋体" w:eastAsia="宋体" w:cs="宋体"/>
          <w:sz w:val="24"/>
          <w:szCs w:val="24"/>
          <w:highlight w:val="none"/>
        </w:rPr>
        <w:t>《室内空气质量标准》</w:t>
      </w:r>
    </w:p>
    <w:p w14:paraId="1D3A21CB">
      <w:pPr>
        <w:spacing w:line="360" w:lineRule="auto"/>
        <w:ind w:firstLine="480" w:firstLineChars="200"/>
        <w:rPr>
          <w:rFonts w:hint="eastAsia" w:ascii="宋体" w:hAnsi="宋体" w:eastAsia="宋体" w:cs="宋体"/>
          <w:color w:val="FF0000"/>
          <w:sz w:val="24"/>
          <w:szCs w:val="24"/>
          <w:highlight w:val="none"/>
        </w:rPr>
      </w:pPr>
      <w:r>
        <w:rPr>
          <w:rFonts w:ascii="宋体" w:hAnsi="宋体" w:eastAsia="宋体" w:cs="宋体"/>
          <w:sz w:val="24"/>
          <w:szCs w:val="24"/>
          <w:highlight w:val="none"/>
        </w:rPr>
        <w:t xml:space="preserve">JBJ16-2000 </w:t>
      </w:r>
      <w:r>
        <w:rPr>
          <w:rFonts w:hint="eastAsia" w:ascii="宋体" w:hAnsi="宋体" w:eastAsia="宋体" w:cs="宋体"/>
          <w:sz w:val="24"/>
          <w:szCs w:val="24"/>
          <w:highlight w:val="none"/>
        </w:rPr>
        <w:t>《机械工业环境保护设计规范》</w:t>
      </w:r>
    </w:p>
    <w:p w14:paraId="7F44F270">
      <w:pPr>
        <w:spacing w:line="360" w:lineRule="auto"/>
        <w:ind w:firstLine="361" w:firstLineChars="150"/>
        <w:rPr>
          <w:rFonts w:hint="eastAsia" w:ascii="宋体" w:hAnsi="宋体" w:eastAsia="宋体" w:cs="宋体"/>
          <w:b/>
          <w:sz w:val="24"/>
          <w:szCs w:val="24"/>
          <w:highlight w:val="none"/>
        </w:rPr>
      </w:pPr>
      <w:r>
        <w:rPr>
          <w:rFonts w:hint="eastAsia" w:ascii="宋体" w:hAnsi="宋体" w:eastAsia="宋体" w:cs="宋体"/>
          <w:b/>
          <w:sz w:val="24"/>
          <w:szCs w:val="24"/>
          <w:highlight w:val="none"/>
        </w:rPr>
        <w:t>四、货物需求一览表</w:t>
      </w:r>
    </w:p>
    <w:tbl>
      <w:tblPr>
        <w:tblStyle w:val="38"/>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782"/>
        <w:gridCol w:w="1000"/>
        <w:gridCol w:w="1700"/>
        <w:gridCol w:w="1257"/>
      </w:tblGrid>
      <w:tr w14:paraId="1CBD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600645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4782" w:type="dxa"/>
            <w:vAlign w:val="center"/>
          </w:tcPr>
          <w:p w14:paraId="020E743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000" w:type="dxa"/>
            <w:vAlign w:val="center"/>
          </w:tcPr>
          <w:p w14:paraId="66C2F01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1700" w:type="dxa"/>
            <w:vAlign w:val="center"/>
          </w:tcPr>
          <w:p w14:paraId="3B2FC88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1257" w:type="dxa"/>
            <w:vAlign w:val="center"/>
          </w:tcPr>
          <w:p w14:paraId="5FEBDB2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6C9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B4EF88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4782" w:type="dxa"/>
            <w:vAlign w:val="center"/>
          </w:tcPr>
          <w:p w14:paraId="52FB0F83">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统帅PRO地板前部后横梁总成手动工装</w:t>
            </w:r>
          </w:p>
        </w:tc>
        <w:tc>
          <w:tcPr>
            <w:tcW w:w="1000" w:type="dxa"/>
            <w:vAlign w:val="center"/>
          </w:tcPr>
          <w:p w14:paraId="2516B5A2">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套</w:t>
            </w:r>
          </w:p>
        </w:tc>
        <w:tc>
          <w:tcPr>
            <w:tcW w:w="1700" w:type="dxa"/>
            <w:vAlign w:val="center"/>
          </w:tcPr>
          <w:p w14:paraId="09429EA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4FB01F8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新增</w:t>
            </w:r>
          </w:p>
        </w:tc>
      </w:tr>
      <w:tr w14:paraId="71E9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4897E57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4782" w:type="dxa"/>
            <w:vAlign w:val="center"/>
          </w:tcPr>
          <w:p w14:paraId="43935806">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悍将地板后横梁总成夹具</w:t>
            </w:r>
          </w:p>
        </w:tc>
        <w:tc>
          <w:tcPr>
            <w:tcW w:w="1000" w:type="dxa"/>
            <w:vAlign w:val="center"/>
          </w:tcPr>
          <w:p w14:paraId="78DF9A4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1套</w:t>
            </w:r>
          </w:p>
        </w:tc>
        <w:tc>
          <w:tcPr>
            <w:tcW w:w="1700" w:type="dxa"/>
            <w:vAlign w:val="center"/>
          </w:tcPr>
          <w:p w14:paraId="2C028B2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6A59DFB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改造</w:t>
            </w:r>
          </w:p>
        </w:tc>
      </w:tr>
      <w:tr w14:paraId="229C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065ABC0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4782" w:type="dxa"/>
            <w:vAlign w:val="center"/>
          </w:tcPr>
          <w:p w14:paraId="50C28CD2">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地板骨架工位适应性改造及防错识别</w:t>
            </w:r>
          </w:p>
        </w:tc>
        <w:tc>
          <w:tcPr>
            <w:tcW w:w="1000" w:type="dxa"/>
            <w:vAlign w:val="center"/>
          </w:tcPr>
          <w:p w14:paraId="5FE7B12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宗</w:t>
            </w:r>
          </w:p>
        </w:tc>
        <w:tc>
          <w:tcPr>
            <w:tcW w:w="1700" w:type="dxa"/>
            <w:vAlign w:val="center"/>
          </w:tcPr>
          <w:p w14:paraId="43103B2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6FC0B9B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改造</w:t>
            </w:r>
          </w:p>
        </w:tc>
      </w:tr>
      <w:tr w14:paraId="0D94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5" w:type="dxa"/>
            <w:vAlign w:val="center"/>
          </w:tcPr>
          <w:p w14:paraId="3F173C9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p>
        </w:tc>
        <w:tc>
          <w:tcPr>
            <w:tcW w:w="4782" w:type="dxa"/>
            <w:vAlign w:val="center"/>
          </w:tcPr>
          <w:p w14:paraId="66330409">
            <w:pPr>
              <w:spacing w:line="240" w:lineRule="auto"/>
              <w:jc w:val="center"/>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lang w:val="en-US" w:eastAsia="zh-CN"/>
              </w:rPr>
              <w:t>中地板/前地板工位适应性改造及防错识别</w:t>
            </w:r>
          </w:p>
        </w:tc>
        <w:tc>
          <w:tcPr>
            <w:tcW w:w="1000" w:type="dxa"/>
            <w:vAlign w:val="center"/>
          </w:tcPr>
          <w:p w14:paraId="03BE48C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1宗</w:t>
            </w:r>
          </w:p>
        </w:tc>
        <w:tc>
          <w:tcPr>
            <w:tcW w:w="1700" w:type="dxa"/>
            <w:vAlign w:val="center"/>
          </w:tcPr>
          <w:p w14:paraId="557C932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1257" w:type="dxa"/>
            <w:vAlign w:val="center"/>
          </w:tcPr>
          <w:p w14:paraId="08CBBE0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w:t>
            </w:r>
          </w:p>
        </w:tc>
      </w:tr>
    </w:tbl>
    <w:p w14:paraId="42D03345">
      <w:pPr>
        <w:pStyle w:val="133"/>
        <w:numPr>
          <w:ilvl w:val="0"/>
          <w:numId w:val="0"/>
        </w:numPr>
        <w:spacing w:line="360" w:lineRule="auto"/>
        <w:ind w:left="361" w:leftChars="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五、</w:t>
      </w:r>
      <w:r>
        <w:rPr>
          <w:rFonts w:hint="eastAsia" w:ascii="宋体" w:hAnsi="宋体" w:eastAsia="宋体" w:cs="宋体"/>
          <w:b/>
          <w:sz w:val="24"/>
          <w:szCs w:val="24"/>
          <w:highlight w:val="none"/>
        </w:rPr>
        <w:t>技术规范</w:t>
      </w:r>
      <w:bookmarkStart w:id="38" w:name="_Toc9310"/>
    </w:p>
    <w:bookmarkEnd w:id="38"/>
    <w:p w14:paraId="5AF14179">
      <w:pPr>
        <w:spacing w:line="360" w:lineRule="auto"/>
        <w:ind w:firstLine="424" w:firstLineChars="177"/>
        <w:rPr>
          <w:rFonts w:hint="eastAsia" w:ascii="黑体" w:hAnsi="黑体" w:eastAsia="黑体" w:cs="宋体"/>
          <w:sz w:val="24"/>
          <w:szCs w:val="24"/>
          <w:highlight w:val="none"/>
          <w:lang w:val="en-US" w:eastAsia="zh-CN"/>
        </w:rPr>
      </w:pPr>
      <w:r>
        <w:rPr>
          <w:rFonts w:hint="eastAsia" w:ascii="黑体" w:hAnsi="黑体" w:eastAsia="黑体" w:cs="宋体"/>
          <w:sz w:val="24"/>
          <w:szCs w:val="24"/>
          <w:highlight w:val="none"/>
          <w:lang w:val="en-US" w:eastAsia="zh-CN"/>
        </w:rPr>
        <w:t>方案描述</w:t>
      </w:r>
    </w:p>
    <w:p w14:paraId="67F16D1F">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通过手工焊夹具改造、新增及焊装线适应性改造，实现新能源轻卡怀挡车型25款悍将宽体单排/排半及统帅PRO宽体单排/排半共4款驾驶室的生产：</w:t>
      </w:r>
    </w:p>
    <w:p w14:paraId="2C72F2E3">
      <w:pPr>
        <w:spacing w:line="360" w:lineRule="auto"/>
        <w:ind w:firstLine="480" w:firstLineChars="200"/>
        <w:rPr>
          <w:rFonts w:hint="eastAsia" w:ascii="宋体" w:hAnsi="宋体" w:eastAsia="宋体" w:cs="宋体"/>
          <w:bCs w:val="0"/>
          <w:kern w:val="2"/>
          <w:sz w:val="24"/>
          <w:szCs w:val="24"/>
          <w:highlight w:val="none"/>
          <w:lang w:val="en-US" w:eastAsia="zh-CN" w:bidi="ar-SA"/>
        </w:rPr>
      </w:pPr>
      <w:r>
        <w:rPr>
          <w:rFonts w:hint="eastAsia" w:ascii="宋体" w:hAnsi="宋体" w:eastAsia="宋体" w:cs="宋体"/>
          <w:sz w:val="24"/>
          <w:szCs w:val="24"/>
          <w:highlight w:val="none"/>
          <w:lang w:val="en-US" w:eastAsia="zh-CN"/>
        </w:rPr>
        <w:t>①25款悍将，改造地板后横梁总成手工焊夹具，</w:t>
      </w:r>
      <w:r>
        <w:rPr>
          <w:rFonts w:hint="eastAsia" w:ascii="宋体" w:hAnsi="宋体" w:eastAsia="宋体" w:cs="宋体"/>
          <w:bCs w:val="0"/>
          <w:kern w:val="2"/>
          <w:sz w:val="24"/>
          <w:szCs w:val="24"/>
          <w:highlight w:val="none"/>
          <w:lang w:val="en-US" w:eastAsia="zh-CN" w:bidi="ar-SA"/>
        </w:rPr>
        <w:t>原工装兼容怀挡车型；</w:t>
      </w:r>
    </w:p>
    <w:p w14:paraId="3ADBB3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Cs w:val="0"/>
          <w:kern w:val="2"/>
          <w:sz w:val="24"/>
          <w:szCs w:val="24"/>
          <w:highlight w:val="none"/>
          <w:lang w:val="en-US" w:eastAsia="zh-CN" w:bidi="ar-SA"/>
        </w:rPr>
      </w:pPr>
      <w:r>
        <w:drawing>
          <wp:inline distT="0" distB="0" distL="114300" distR="114300">
            <wp:extent cx="3456305" cy="1296035"/>
            <wp:effectExtent l="0" t="0" r="10795" b="12065"/>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24"/>
                    <a:stretch>
                      <a:fillRect/>
                    </a:stretch>
                  </pic:blipFill>
                  <pic:spPr>
                    <a:xfrm>
                      <a:off x="0" y="0"/>
                      <a:ext cx="3456305" cy="1296035"/>
                    </a:xfrm>
                    <a:prstGeom prst="rect">
                      <a:avLst/>
                    </a:prstGeom>
                    <a:noFill/>
                    <a:ln>
                      <a:noFill/>
                    </a:ln>
                  </pic:spPr>
                </pic:pic>
              </a:graphicData>
            </a:graphic>
          </wp:inline>
        </w:drawing>
      </w:r>
    </w:p>
    <w:p w14:paraId="73E76AAB">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②统帅PRO，新增地板前部后横梁总成手工焊夹具，原工装无改造兼容空间；</w:t>
      </w:r>
    </w:p>
    <w:p w14:paraId="457890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4"/>
          <w:szCs w:val="24"/>
          <w:highlight w:val="none"/>
          <w:lang w:val="en-US" w:eastAsia="zh-CN"/>
        </w:rPr>
      </w:pPr>
      <w:r>
        <w:drawing>
          <wp:inline distT="0" distB="0" distL="114300" distR="114300">
            <wp:extent cx="3456305" cy="1656080"/>
            <wp:effectExtent l="0" t="0" r="10795" b="7620"/>
            <wp:docPr id="3" name="图片 4"/>
            <wp:cNvGraphicFramePr/>
            <a:graphic xmlns:a="http://schemas.openxmlformats.org/drawingml/2006/main">
              <a:graphicData uri="http://schemas.openxmlformats.org/drawingml/2006/picture">
                <pic:pic xmlns:pic="http://schemas.openxmlformats.org/drawingml/2006/picture">
                  <pic:nvPicPr>
                    <pic:cNvPr id="3" name="图片 4"/>
                    <pic:cNvPicPr/>
                  </pic:nvPicPr>
                  <pic:blipFill>
                    <a:blip r:embed="rId25"/>
                    <a:stretch>
                      <a:fillRect/>
                    </a:stretch>
                  </pic:blipFill>
                  <pic:spPr>
                    <a:xfrm>
                      <a:off x="0" y="0"/>
                      <a:ext cx="3456305" cy="1656080"/>
                    </a:xfrm>
                    <a:prstGeom prst="rect">
                      <a:avLst/>
                    </a:prstGeom>
                    <a:noFill/>
                    <a:ln>
                      <a:noFill/>
                    </a:ln>
                  </pic:spPr>
                </pic:pic>
              </a:graphicData>
            </a:graphic>
          </wp:inline>
        </w:drawing>
      </w:r>
    </w:p>
    <w:p w14:paraId="78956D1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③自动线体导入4款怀挡车型并进行对应车型调试，满足怀挡车型焊装线生产需求。</w:t>
      </w:r>
    </w:p>
    <w:p w14:paraId="208876A0">
      <w:pPr>
        <w:spacing w:line="360" w:lineRule="auto"/>
        <w:ind w:firstLine="480" w:firstLineChars="200"/>
        <w:jc w:val="left"/>
        <w:rPr>
          <w:rFonts w:hint="eastAsia" w:ascii="宋体" w:hAnsi="宋体" w:eastAsia="宋体" w:cs="宋体"/>
          <w:color w:val="000000"/>
          <w:sz w:val="24"/>
          <w:szCs w:val="24"/>
          <w:highlight w:val="none"/>
        </w:rPr>
      </w:pPr>
      <w:bookmarkStart w:id="39" w:name="_Toc24489"/>
      <w:r>
        <w:rPr>
          <w:rFonts w:hint="eastAsia" w:ascii="黑体" w:hAnsi="黑体" w:eastAsia="黑体" w:cs="宋体"/>
          <w:sz w:val="24"/>
          <w:szCs w:val="24"/>
          <w:highlight w:val="none"/>
        </w:rPr>
        <w:t>总体技术要求</w:t>
      </w:r>
      <w:bookmarkEnd w:id="39"/>
    </w:p>
    <w:p w14:paraId="054819A4">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融入</w:t>
      </w:r>
      <w:r>
        <w:rPr>
          <w:rFonts w:hint="eastAsia" w:ascii="宋体" w:hAnsi="宋体" w:eastAsia="宋体" w:cs="宋体"/>
          <w:color w:val="000000"/>
          <w:sz w:val="24"/>
          <w:szCs w:val="24"/>
          <w:highlight w:val="none"/>
        </w:rPr>
        <w:t>新能源轻卡怀挡车型25款悍将宽体单排/排半及统帅PRO宽体单排/排半共4款驾驶室的生产，车型生产节拍要求≤2.</w:t>
      </w:r>
      <w:r>
        <w:rPr>
          <w:rFonts w:ascii="宋体" w:hAnsi="宋体" w:eastAsia="宋体" w:cs="宋体"/>
          <w:color w:val="000000"/>
          <w:sz w:val="24"/>
          <w:szCs w:val="24"/>
          <w:highlight w:val="none"/>
        </w:rPr>
        <w:t>2</w:t>
      </w:r>
      <w:r>
        <w:rPr>
          <w:rFonts w:hint="eastAsia" w:ascii="宋体" w:hAnsi="宋体" w:eastAsia="宋体" w:cs="宋体"/>
          <w:color w:val="000000"/>
          <w:sz w:val="24"/>
          <w:szCs w:val="24"/>
          <w:highlight w:val="none"/>
        </w:rPr>
        <w:t>min。</w:t>
      </w:r>
      <w:r>
        <w:rPr>
          <w:rFonts w:hint="eastAsia" w:ascii="宋体" w:hAnsi="宋体" w:eastAsia="宋体" w:cs="宋体"/>
          <w:sz w:val="24"/>
          <w:szCs w:val="24"/>
          <w:highlight w:val="none"/>
        </w:rPr>
        <w:t>总成和零件的上线、焊接、生产过程中的运输、存储和机械设备的动作时间等都应当认</w:t>
      </w:r>
      <w:r>
        <w:rPr>
          <w:rFonts w:hint="eastAsia" w:ascii="宋体" w:hAnsi="宋体" w:eastAsia="宋体" w:cs="宋体"/>
          <w:color w:val="000000"/>
          <w:sz w:val="24"/>
          <w:szCs w:val="24"/>
          <w:highlight w:val="none"/>
        </w:rPr>
        <w:t>为是上述生产节拍的一个组成部分。投标方应认识到生产节拍是一项十分重要的技术指标，投标方应以三维仿真模拟来描述和表达生产节拍的实现（三维仿真模拟仅作为生产节拍的一个参考，不作为生产节拍判定的依据）。</w:t>
      </w:r>
    </w:p>
    <w:p w14:paraId="16A1D05A">
      <w:pPr>
        <w:pStyle w:val="133"/>
        <w:tabs>
          <w:tab w:val="left" w:pos="420"/>
        </w:tabs>
        <w:spacing w:line="360" w:lineRule="auto"/>
        <w:ind w:left="0" w:leftChars="0"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一个完整的节拍包含：启动→工作→工作结束→传输→回位→等待再次启动</w:t>
      </w:r>
      <w:r>
        <w:rPr>
          <w:rFonts w:hint="eastAsia" w:ascii="宋体" w:hAnsi="宋体" w:eastAsia="宋体" w:cs="宋体"/>
          <w:color w:val="000000"/>
          <w:sz w:val="24"/>
          <w:szCs w:val="24"/>
          <w:highlight w:val="none"/>
          <w:lang w:eastAsia="zh-CN"/>
        </w:rPr>
        <w:t>。</w:t>
      </w:r>
    </w:p>
    <w:p w14:paraId="21D713E2">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lang w:eastAsia="zh-CN"/>
        </w:rPr>
      </w:pPr>
      <w:bookmarkStart w:id="40" w:name="_Toc340913564"/>
      <w:r>
        <w:rPr>
          <w:rFonts w:hint="eastAsia" w:ascii="宋体" w:hAnsi="宋体" w:eastAsia="宋体" w:cs="宋体"/>
          <w:sz w:val="24"/>
          <w:szCs w:val="24"/>
          <w:highlight w:val="none"/>
          <w:lang w:val="en-US" w:eastAsia="zh-CN"/>
        </w:rPr>
        <w:t>①</w:t>
      </w:r>
      <w:r>
        <w:rPr>
          <w:rFonts w:hint="eastAsia" w:ascii="宋体" w:hAnsi="宋体" w:eastAsia="宋体" w:cs="宋体"/>
          <w:sz w:val="24"/>
          <w:szCs w:val="24"/>
          <w:highlight w:val="none"/>
        </w:rPr>
        <w:t>驾驶室</w:t>
      </w:r>
      <w:r>
        <w:rPr>
          <w:rFonts w:hint="eastAsia" w:ascii="宋体" w:hAnsi="宋体" w:eastAsia="宋体" w:cs="宋体"/>
          <w:color w:val="000000"/>
          <w:sz w:val="24"/>
          <w:szCs w:val="24"/>
          <w:highlight w:val="none"/>
        </w:rPr>
        <w:t>尺寸标准：全尺寸合格率</w:t>
      </w:r>
      <w:r>
        <w:rPr>
          <w:rFonts w:hint="eastAsia" w:ascii="宋体" w:hAnsi="宋体" w:eastAsia="宋体" w:cs="宋体"/>
          <w:color w:val="000000"/>
          <w:sz w:val="24"/>
          <w:szCs w:val="24"/>
          <w:highlight w:val="none"/>
          <w:lang w:val="en-US" w:eastAsia="zh-CN"/>
        </w:rPr>
        <w:t>88</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1.5mm</w:t>
      </w:r>
      <w:r>
        <w:rPr>
          <w:rFonts w:hint="eastAsia" w:ascii="宋体" w:hAnsi="宋体" w:eastAsia="宋体" w:cs="宋体"/>
          <w:color w:val="000000"/>
          <w:sz w:val="24"/>
          <w:szCs w:val="24"/>
          <w:highlight w:val="none"/>
        </w:rPr>
        <w:t>）</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tblGrid>
      <w:tr w14:paraId="59CC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0" w:type="dxa"/>
            <w:gridSpan w:val="2"/>
            <w:vAlign w:val="top"/>
          </w:tcPr>
          <w:p w14:paraId="260D8C48">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白车身全尺寸合格率（±1.5mm）</w:t>
            </w:r>
          </w:p>
        </w:tc>
      </w:tr>
      <w:tr w14:paraId="1EB5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14:paraId="50847BF4">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第一阶段</w:t>
            </w:r>
          </w:p>
        </w:tc>
        <w:tc>
          <w:tcPr>
            <w:tcW w:w="3095" w:type="dxa"/>
          </w:tcPr>
          <w:p w14:paraId="3122E42D">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70%</w:t>
            </w:r>
          </w:p>
        </w:tc>
      </w:tr>
      <w:tr w14:paraId="191E0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5" w:type="dxa"/>
            <w:vAlign w:val="top"/>
          </w:tcPr>
          <w:p w14:paraId="607C06F1">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量产阶段</w:t>
            </w:r>
          </w:p>
        </w:tc>
        <w:tc>
          <w:tcPr>
            <w:tcW w:w="3095" w:type="dxa"/>
          </w:tcPr>
          <w:p w14:paraId="5CED1E85">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000000"/>
                <w:sz w:val="24"/>
                <w:szCs w:val="24"/>
                <w:highlight w:val="none"/>
                <w:vertAlign w:val="baseline"/>
                <w:lang w:val="en-US" w:eastAsia="zh-CN"/>
              </w:rPr>
            </w:pPr>
            <w:r>
              <w:rPr>
                <w:rFonts w:hint="eastAsia" w:ascii="宋体" w:hAnsi="宋体" w:eastAsia="宋体" w:cs="宋体"/>
                <w:color w:val="000000"/>
                <w:sz w:val="24"/>
                <w:szCs w:val="24"/>
                <w:highlight w:val="none"/>
                <w:vertAlign w:val="baseline"/>
                <w:lang w:val="en-US" w:eastAsia="zh-CN"/>
              </w:rPr>
              <w:t>88%</w:t>
            </w:r>
          </w:p>
        </w:tc>
      </w:tr>
      <w:bookmarkEnd w:id="40"/>
    </w:tbl>
    <w:p w14:paraId="643F5678">
      <w:pPr>
        <w:pStyle w:val="133"/>
        <w:widowControl/>
        <w:spacing w:line="360" w:lineRule="auto"/>
        <w:ind w:firstLine="480" w:firstLineChars="200"/>
        <w:contextualSpacing/>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②</w:t>
      </w:r>
      <w:r>
        <w:rPr>
          <w:rFonts w:hint="eastAsia" w:ascii="宋体" w:hAnsi="宋体" w:eastAsia="宋体" w:cs="宋体"/>
          <w:color w:val="000000"/>
          <w:sz w:val="24"/>
          <w:szCs w:val="24"/>
          <w:highlight w:val="none"/>
        </w:rPr>
        <w:t>焊接质量标准</w:t>
      </w:r>
    </w:p>
    <w:tbl>
      <w:tblPr>
        <w:tblStyle w:val="38"/>
        <w:tblW w:w="9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387"/>
        <w:gridCol w:w="6661"/>
      </w:tblGrid>
      <w:tr w14:paraId="4D0D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99" w:type="dxa"/>
            <w:vAlign w:val="center"/>
          </w:tcPr>
          <w:p w14:paraId="11382E6F">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标准名称</w:t>
            </w:r>
          </w:p>
        </w:tc>
        <w:tc>
          <w:tcPr>
            <w:tcW w:w="1387" w:type="dxa"/>
            <w:vAlign w:val="center"/>
          </w:tcPr>
          <w:p w14:paraId="6BECB828">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w:t>
            </w:r>
          </w:p>
        </w:tc>
        <w:tc>
          <w:tcPr>
            <w:tcW w:w="6661" w:type="dxa"/>
            <w:vAlign w:val="center"/>
          </w:tcPr>
          <w:p w14:paraId="2AB139AB">
            <w:pPr>
              <w:pStyle w:val="133"/>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备注</w:t>
            </w:r>
          </w:p>
        </w:tc>
      </w:tr>
      <w:tr w14:paraId="5FDE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99" w:type="dxa"/>
            <w:vAlign w:val="center"/>
          </w:tcPr>
          <w:p w14:paraId="47EF0DC0">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点焊质量</w:t>
            </w:r>
          </w:p>
        </w:tc>
        <w:tc>
          <w:tcPr>
            <w:tcW w:w="1387" w:type="dxa"/>
            <w:vAlign w:val="center"/>
          </w:tcPr>
          <w:p w14:paraId="4836CB4D">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Q/ZZ</w:t>
            </w:r>
            <w:r>
              <w:rPr>
                <w:rFonts w:hint="eastAsia" w:ascii="宋体" w:hAnsi="宋体" w:eastAsia="宋体" w:cs="宋体"/>
                <w:color w:val="000000"/>
                <w:sz w:val="22"/>
                <w:szCs w:val="22"/>
                <w:highlight w:val="none"/>
                <w:lang w:val="en-US" w:eastAsia="zh-CN"/>
              </w:rPr>
              <w:t xml:space="preserve"> </w:t>
            </w:r>
            <w:r>
              <w:rPr>
                <w:rFonts w:hint="eastAsia" w:ascii="宋体" w:hAnsi="宋体" w:eastAsia="宋体" w:cs="宋体"/>
                <w:color w:val="000000"/>
                <w:sz w:val="22"/>
                <w:szCs w:val="22"/>
                <w:highlight w:val="none"/>
              </w:rPr>
              <w:t>30025点焊技术条件</w:t>
            </w:r>
          </w:p>
        </w:tc>
        <w:tc>
          <w:tcPr>
            <w:tcW w:w="6661" w:type="dxa"/>
          </w:tcPr>
          <w:p w14:paraId="4AACB96F">
            <w:pPr>
              <w:pStyle w:val="133"/>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标准中焊点数量及位置要求与数模文件冲突时，以数模文件为准；凡招标方数模中焊点未明确的，由投标方提出</w:t>
            </w:r>
            <w:r>
              <w:rPr>
                <w:rFonts w:hint="eastAsia" w:ascii="宋体" w:hAnsi="宋体" w:eastAsia="宋体" w:cs="宋体"/>
                <w:color w:val="000000"/>
                <w:sz w:val="22"/>
                <w:szCs w:val="22"/>
                <w:highlight w:val="none"/>
                <w:lang w:val="en-US" w:eastAsia="zh-CN"/>
              </w:rPr>
              <w:t>数量和间距等差异，</w:t>
            </w:r>
            <w:r>
              <w:rPr>
                <w:rFonts w:hint="eastAsia" w:ascii="宋体" w:hAnsi="宋体" w:eastAsia="宋体" w:cs="宋体"/>
                <w:color w:val="000000"/>
                <w:sz w:val="22"/>
                <w:szCs w:val="22"/>
                <w:highlight w:val="none"/>
              </w:rPr>
              <w:t>招标方确认，涉及到自动焊接的需在开标前提出，招标方给予明确。</w:t>
            </w:r>
          </w:p>
        </w:tc>
      </w:tr>
    </w:tbl>
    <w:p w14:paraId="2F0CC499">
      <w:pPr>
        <w:pStyle w:val="133"/>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未作规定的与产品质量有关联的工装公差由投标方提出经招标方认可后执行。产品线改造后现有</w:t>
      </w:r>
      <w:r>
        <w:rPr>
          <w:rFonts w:hint="eastAsia" w:ascii="宋体" w:hAnsi="宋体" w:eastAsia="宋体" w:cs="宋体"/>
          <w:color w:val="000000"/>
          <w:sz w:val="24"/>
          <w:szCs w:val="24"/>
          <w:highlight w:val="none"/>
          <w:lang w:val="en-US" w:eastAsia="zh-CN"/>
        </w:rPr>
        <w:t>驾驶室</w:t>
      </w:r>
      <w:r>
        <w:rPr>
          <w:rFonts w:hint="eastAsia" w:ascii="宋体" w:hAnsi="宋体" w:eastAsia="宋体" w:cs="宋体"/>
          <w:color w:val="000000"/>
          <w:sz w:val="24"/>
          <w:szCs w:val="24"/>
          <w:highlight w:val="none"/>
        </w:rPr>
        <w:t>各项质量标准不得低于改造前的状态。</w:t>
      </w:r>
    </w:p>
    <w:p w14:paraId="29790D58">
      <w:pPr>
        <w:pStyle w:val="133"/>
        <w:numPr>
          <w:ilvl w:val="0"/>
          <w:numId w:val="0"/>
        </w:numPr>
        <w:spacing w:line="360" w:lineRule="auto"/>
        <w:ind w:left="480" w:leftChars="0"/>
        <w:jc w:val="left"/>
        <w:rPr>
          <w:rFonts w:hint="eastAsia" w:ascii="宋体" w:hAnsi="宋体" w:eastAsia="宋体" w:cs="宋体"/>
          <w:b/>
          <w:bCs/>
          <w:color w:val="000000"/>
          <w:sz w:val="24"/>
          <w:szCs w:val="24"/>
          <w:highlight w:val="none"/>
        </w:rPr>
      </w:pPr>
      <w:bookmarkStart w:id="41" w:name="_Toc7543492"/>
      <w:r>
        <w:rPr>
          <w:rFonts w:hint="eastAsia" w:ascii="宋体" w:hAnsi="宋体" w:eastAsia="宋体" w:cs="宋体"/>
          <w:b/>
          <w:bCs/>
          <w:color w:val="000000"/>
          <w:sz w:val="24"/>
          <w:szCs w:val="24"/>
          <w:highlight w:val="none"/>
        </w:rPr>
        <w:t>夹具设计要求</w:t>
      </w:r>
      <w:bookmarkEnd w:id="41"/>
    </w:p>
    <w:p w14:paraId="2FBFA5E5">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夹具应满足产品结构、工艺和生产纲领的要求，夹具应有合理的定位夹紧机构和支撑装置，保证组件定位可靠，焊接质量稳定。</w:t>
      </w:r>
    </w:p>
    <w:p w14:paraId="06D706C5">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定位基准应以产品图GD＆T为基础，并保证前后工序夹具定位系统基准统一。为更有效地保证产品定位稳定，根据实际情况可以增加相应的定位机构，但必须经招标方认可。原则上不允许使用螺母孔及异性孔作为定位孔，定位孔选择应与模具定位孔统一，如存在问题，投标方应提前反馈，否则由投标方承担相应责任。</w:t>
      </w:r>
    </w:p>
    <w:p w14:paraId="06BB8DD8">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设计应充分考虑操作方便和安全可靠、维护修理方便，应保证人工焊接、装卸工件方便，使焊接件处于最佳焊接位置，夹具设计在保证工艺要求和刚度的情况下结构应简单合理。所有需要进行人工上件的夹具应具备防错装、漏装产品件的功能。</w:t>
      </w:r>
    </w:p>
    <w:p w14:paraId="7442DCE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定位销采用可拆卸结构。焊装夹具所有定位销、支撑块、垫块、夹紧块、挡块，均为可调（调整量为5mm，现场调试完成后垫片厚度不得超过5mm）</w:t>
      </w:r>
      <w:r>
        <w:rPr>
          <w:rFonts w:hint="eastAsia" w:ascii="宋体" w:hAnsi="宋体" w:eastAsia="宋体" w:cs="宋体"/>
          <w:sz w:val="24"/>
          <w:szCs w:val="24"/>
          <w:highlight w:val="none"/>
          <w:lang w:eastAsia="zh-CN"/>
        </w:rPr>
        <w:t>。</w:t>
      </w:r>
    </w:p>
    <w:p w14:paraId="544D292A">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3360" behindDoc="0" locked="0" layoutInCell="1" allowOverlap="1">
            <wp:simplePos x="0" y="0"/>
            <wp:positionH relativeFrom="column">
              <wp:posOffset>394970</wp:posOffset>
            </wp:positionH>
            <wp:positionV relativeFrom="paragraph">
              <wp:posOffset>1548130</wp:posOffset>
            </wp:positionV>
            <wp:extent cx="4963160" cy="3281680"/>
            <wp:effectExtent l="0" t="0" r="8890" b="13970"/>
            <wp:wrapTopAndBottom/>
            <wp:docPr id="41" name="图片 23" descr="1642398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1642398083(1)"/>
                    <pic:cNvPicPr>
                      <a:picLocks noChangeAspect="1"/>
                    </pic:cNvPicPr>
                  </pic:nvPicPr>
                  <pic:blipFill>
                    <a:blip r:embed="rId26"/>
                    <a:stretch>
                      <a:fillRect/>
                    </a:stretch>
                  </pic:blipFill>
                  <pic:spPr>
                    <a:xfrm>
                      <a:off x="0" y="0"/>
                      <a:ext cx="4963160" cy="3281680"/>
                    </a:xfrm>
                    <a:prstGeom prst="rect">
                      <a:avLst/>
                    </a:prstGeom>
                    <a:noFill/>
                    <a:ln>
                      <a:noFill/>
                    </a:ln>
                  </pic:spPr>
                </pic:pic>
              </a:graphicData>
            </a:graphic>
          </wp:anchor>
        </w:drawing>
      </w:r>
      <w:r>
        <w:rPr>
          <w:rFonts w:hint="eastAsia" w:ascii="宋体" w:hAnsi="宋体" w:eastAsia="宋体" w:cs="宋体"/>
          <w:sz w:val="24"/>
          <w:szCs w:val="24"/>
          <w:highlight w:val="none"/>
        </w:rPr>
        <w:t>定位销首推沉孔安装，其固定方法采用增加台阶平面，用台阶平面止转方式（如下图1）。原则上定位销尾端禁止使用外螺纹形式，如空间狭小必须使用时，从后面用螺母固定（如下图2），不允许定位销直接用螺母与连接块连接（如下图3）。当定位销与车身坐标系之间有一定角度（大于5º时）、定位销不垂直于底板、定位孔不可见或者为了方便上件/取件时，设计为伸缩销。</w:t>
      </w:r>
    </w:p>
    <w:p w14:paraId="44A6C897">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线夹紧、传输等过程不允许对产品外观面造成磕碰划伤等外观问题。焊装夹具设计时应考虑汽车覆盖件的外表面有防止出现焊点压痕的保护措施，保护板的材料选用CuCrZr(铬锆铜),其有效板厚10～12mm，外覆盖件的支撑采用聚氨酯套覆盖（邵氏硬度60-80）。</w:t>
      </w:r>
    </w:p>
    <w:p w14:paraId="1B9E65AF">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夹具的涂色要求：按照《Q/ZZ30070-2020设备设施颜色标识》标准执行。</w:t>
      </w:r>
    </w:p>
    <w:p w14:paraId="1B8AE62A">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夹具底座板应涂防飞溅漆、防锈漆，底座板上平面应加工有基准线和基准孔。</w:t>
      </w:r>
    </w:p>
    <w:p w14:paraId="049FC566">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焊接夹具的气管应该配置在夹具平台的上面或侧面，禁止在平台的底面配管。气管要有铝制标识，外漏气管进行防护。</w:t>
      </w:r>
    </w:p>
    <w:p w14:paraId="4FA5ABF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图纸图面应符合招标方要求，夹具总图应有详细的夹具零件清单（或单独编制）、气动原理图、电控原理图、夹具安装图和三维图纸（电子版CatiaV5R20）等，夹具设计图必须完整、正确。二维图纸应有三个方向的坐标线（间距为100mm），夹具设计图应反映出各定位尺寸、升降装置位置、尺寸和支撑面型面尺寸。夹具设计图纸制图采用中国制图标准或ISO制图标准，文字采用中文简化字；规格和单位采用中国工业标准或ISO国际标准。</w:t>
      </w:r>
    </w:p>
    <w:p w14:paraId="53F00264">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焊装夹具上应安装标牌，在标牌上应标有总成件名称和编号、夹具尺寸和重量、夹具名称和编号、制造厂名和制造日期，语言为中文，编号规则由招标方提供。</w:t>
      </w:r>
    </w:p>
    <w:p w14:paraId="0A03949C">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夹具材料选用标准</w:t>
      </w:r>
    </w:p>
    <w:tbl>
      <w:tblPr>
        <w:tblStyle w:val="38"/>
        <w:tblW w:w="91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2115"/>
        <w:gridCol w:w="1738"/>
        <w:gridCol w:w="1300"/>
        <w:gridCol w:w="3402"/>
      </w:tblGrid>
      <w:tr w14:paraId="0EFC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A53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AD2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部件</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A68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材料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top"/>
          </w:tcPr>
          <w:p w14:paraId="4AB9B0CD">
            <w:pPr>
              <w:keepNext w:val="0"/>
              <w:keepLines w:val="0"/>
              <w:widowControl/>
              <w:suppressLineNumbers w:val="0"/>
              <w:jc w:val="center"/>
              <w:textAlignment w:val="top"/>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硬度</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1F6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7615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87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272F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62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2B18">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0CB1">
            <w:pPr>
              <w:jc w:val="center"/>
              <w:rPr>
                <w:rFonts w:hint="eastAsia" w:ascii="宋体" w:hAnsi="宋体" w:eastAsia="宋体" w:cs="宋体"/>
                <w:i w:val="0"/>
                <w:iCs w:val="0"/>
                <w:color w:val="000000"/>
                <w:sz w:val="24"/>
                <w:szCs w:val="24"/>
                <w:highlight w:val="none"/>
                <w:u w:val="none"/>
              </w:rPr>
            </w:pPr>
          </w:p>
        </w:tc>
      </w:tr>
      <w:tr w14:paraId="3351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32E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17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E48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8EDF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2FA8">
            <w:pPr>
              <w:jc w:val="center"/>
              <w:rPr>
                <w:rFonts w:hint="eastAsia" w:ascii="宋体" w:hAnsi="宋体" w:eastAsia="宋体" w:cs="宋体"/>
                <w:i w:val="0"/>
                <w:iCs w:val="0"/>
                <w:color w:val="000000"/>
                <w:sz w:val="24"/>
                <w:szCs w:val="24"/>
                <w:highlight w:val="none"/>
                <w:u w:val="none"/>
              </w:rPr>
            </w:pPr>
          </w:p>
        </w:tc>
      </w:tr>
      <w:tr w14:paraId="6A97A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AD2D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D8D9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定位块、支撑块</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624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8F8B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HRC45-50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D2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局部淬火处理，发黑，位置度±0.2mm，并做倒角处理</w:t>
            </w:r>
          </w:p>
        </w:tc>
      </w:tr>
      <w:tr w14:paraId="618A4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16E28">
            <w:pPr>
              <w:jc w:val="center"/>
              <w:rPr>
                <w:rFonts w:hint="eastAsia" w:ascii="宋体" w:hAnsi="宋体" w:eastAsia="宋体" w:cs="宋体"/>
                <w:i w:val="0"/>
                <w:iCs w:val="0"/>
                <w:color w:val="000000"/>
                <w:sz w:val="24"/>
                <w:szCs w:val="24"/>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D57D3">
            <w:pPr>
              <w:jc w:val="center"/>
              <w:rPr>
                <w:rFonts w:hint="eastAsia" w:ascii="宋体" w:hAnsi="宋体" w:eastAsia="宋体" w:cs="宋体"/>
                <w:i w:val="0"/>
                <w:iCs w:val="0"/>
                <w:color w:val="000000"/>
                <w:sz w:val="24"/>
                <w:szCs w:val="24"/>
                <w:highlight w:val="none"/>
                <w:u w:val="none"/>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A9E4F">
            <w:pPr>
              <w:jc w:val="center"/>
              <w:rPr>
                <w:rFonts w:hint="eastAsia" w:ascii="宋体" w:hAnsi="宋体" w:eastAsia="宋体" w:cs="宋体"/>
                <w:i w:val="0"/>
                <w:iCs w:val="0"/>
                <w:color w:val="000000"/>
                <w:sz w:val="24"/>
                <w:szCs w:val="24"/>
                <w:highlight w:val="none"/>
                <w:u w:val="none"/>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9AB09">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6E7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外覆盖件的支撑需额外采用聚氨酯套（厚度2mm）覆盖</w:t>
            </w:r>
          </w:p>
        </w:tc>
      </w:tr>
      <w:tr w14:paraId="20FDC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71D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A7F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连接臂</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D1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BB18">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F472">
            <w:pPr>
              <w:jc w:val="center"/>
              <w:rPr>
                <w:rFonts w:hint="eastAsia" w:ascii="宋体" w:hAnsi="宋体" w:eastAsia="宋体" w:cs="宋体"/>
                <w:i w:val="0"/>
                <w:iCs w:val="0"/>
                <w:color w:val="000000"/>
                <w:sz w:val="24"/>
                <w:szCs w:val="24"/>
                <w:highlight w:val="none"/>
                <w:u w:val="none"/>
              </w:rPr>
            </w:pPr>
          </w:p>
        </w:tc>
      </w:tr>
      <w:tr w14:paraId="0A5C8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B1F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D7EE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限位块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5C3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20Cr</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62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 58-62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4C96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渗碳淬火深度：0.8-1.2mm，表面防锈处理</w:t>
            </w:r>
          </w:p>
        </w:tc>
      </w:tr>
      <w:tr w14:paraId="6A6D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413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9F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41B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83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HRC55-60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92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表面防锈处理</w:t>
            </w:r>
          </w:p>
        </w:tc>
      </w:tr>
      <w:tr w14:paraId="14C4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2C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C06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螺柱焊定位导套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48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不锈钢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0CA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AB28">
            <w:pPr>
              <w:jc w:val="center"/>
              <w:rPr>
                <w:rFonts w:hint="eastAsia" w:ascii="宋体" w:hAnsi="宋体" w:eastAsia="宋体" w:cs="宋体"/>
                <w:i w:val="0"/>
                <w:iCs w:val="0"/>
                <w:color w:val="000000"/>
                <w:sz w:val="24"/>
                <w:szCs w:val="24"/>
                <w:highlight w:val="none"/>
                <w:u w:val="none"/>
              </w:rPr>
            </w:pPr>
          </w:p>
        </w:tc>
      </w:tr>
      <w:tr w14:paraId="01CE6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A13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151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弧焊附近的定位销、压紧块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9C32">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CuCr1Zr</w:t>
            </w:r>
          </w:p>
          <w:p w14:paraId="257AB7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(铬锆铜)</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B97F">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9BD1">
            <w:pPr>
              <w:jc w:val="center"/>
              <w:rPr>
                <w:rFonts w:hint="eastAsia" w:ascii="宋体" w:hAnsi="宋体" w:eastAsia="宋体" w:cs="宋体"/>
                <w:i w:val="0"/>
                <w:iCs w:val="0"/>
                <w:color w:val="000000"/>
                <w:sz w:val="24"/>
                <w:szCs w:val="24"/>
                <w:highlight w:val="none"/>
                <w:u w:val="none"/>
              </w:rPr>
            </w:pPr>
          </w:p>
        </w:tc>
      </w:tr>
      <w:tr w14:paraId="21675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3B5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6AA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焊枪导向块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B98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MC尼龙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8874">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6458">
            <w:pPr>
              <w:jc w:val="center"/>
              <w:rPr>
                <w:rFonts w:hint="eastAsia" w:ascii="宋体" w:hAnsi="宋体" w:eastAsia="宋体" w:cs="宋体"/>
                <w:i w:val="0"/>
                <w:iCs w:val="0"/>
                <w:color w:val="000000"/>
                <w:sz w:val="22"/>
                <w:szCs w:val="22"/>
                <w:highlight w:val="none"/>
                <w:u w:val="none"/>
              </w:rPr>
            </w:pPr>
          </w:p>
        </w:tc>
      </w:tr>
    </w:tbl>
    <w:p w14:paraId="67DCDBFD">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夹具精度要求</w:t>
      </w:r>
    </w:p>
    <w:tbl>
      <w:tblPr>
        <w:tblStyle w:val="38"/>
        <w:tblW w:w="78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3762"/>
        <w:gridCol w:w="2100"/>
        <w:gridCol w:w="1388"/>
      </w:tblGrid>
      <w:tr w14:paraId="52A52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FF1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429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19E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精度要求</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6D5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1C083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E4B8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350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BASE板平面度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29F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≤0.1/1000mm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7528">
            <w:pPr>
              <w:jc w:val="center"/>
              <w:rPr>
                <w:rFonts w:hint="eastAsia" w:ascii="宋体" w:hAnsi="宋体" w:eastAsia="宋体" w:cs="宋体"/>
                <w:i w:val="0"/>
                <w:iCs w:val="0"/>
                <w:color w:val="000000"/>
                <w:sz w:val="24"/>
                <w:szCs w:val="24"/>
                <w:highlight w:val="none"/>
                <w:u w:val="none"/>
              </w:rPr>
            </w:pPr>
          </w:p>
        </w:tc>
      </w:tr>
      <w:tr w14:paraId="58F9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DB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EA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主基准面形状公差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A9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EC99E">
            <w:pPr>
              <w:jc w:val="left"/>
              <w:rPr>
                <w:rFonts w:hint="eastAsia" w:ascii="宋体" w:hAnsi="宋体" w:eastAsia="宋体" w:cs="宋体"/>
                <w:i w:val="0"/>
                <w:iCs w:val="0"/>
                <w:color w:val="000000"/>
                <w:sz w:val="24"/>
                <w:szCs w:val="24"/>
                <w:highlight w:val="none"/>
                <w:u w:val="none"/>
              </w:rPr>
            </w:pPr>
          </w:p>
        </w:tc>
      </w:tr>
      <w:tr w14:paraId="5D45C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A7C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93B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87A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BDB3">
            <w:pPr>
              <w:jc w:val="center"/>
              <w:rPr>
                <w:rFonts w:hint="eastAsia" w:ascii="宋体" w:hAnsi="宋体" w:eastAsia="宋体" w:cs="宋体"/>
                <w:i w:val="0"/>
                <w:iCs w:val="0"/>
                <w:color w:val="000000"/>
                <w:sz w:val="24"/>
                <w:szCs w:val="24"/>
                <w:highlight w:val="none"/>
                <w:u w:val="none"/>
              </w:rPr>
            </w:pPr>
          </w:p>
        </w:tc>
      </w:tr>
      <w:tr w14:paraId="540E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B4A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E3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BASE基准孔与基准面的加工精度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3EA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+0.00～-0.05mm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1723">
            <w:pPr>
              <w:jc w:val="left"/>
              <w:rPr>
                <w:rFonts w:hint="eastAsia" w:ascii="宋体" w:hAnsi="宋体" w:eastAsia="宋体" w:cs="宋体"/>
                <w:i w:val="0"/>
                <w:iCs w:val="0"/>
                <w:color w:val="000000"/>
                <w:sz w:val="24"/>
                <w:szCs w:val="24"/>
                <w:highlight w:val="none"/>
                <w:u w:val="none"/>
              </w:rPr>
            </w:pPr>
          </w:p>
        </w:tc>
      </w:tr>
      <w:tr w14:paraId="1585F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AFC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17E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98E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735C">
            <w:pPr>
              <w:jc w:val="center"/>
              <w:rPr>
                <w:rFonts w:hint="eastAsia" w:ascii="宋体" w:hAnsi="宋体" w:eastAsia="宋体" w:cs="宋体"/>
                <w:i w:val="0"/>
                <w:iCs w:val="0"/>
                <w:color w:val="000000"/>
                <w:sz w:val="24"/>
                <w:szCs w:val="24"/>
                <w:highlight w:val="none"/>
                <w:u w:val="none"/>
              </w:rPr>
            </w:pPr>
          </w:p>
        </w:tc>
      </w:tr>
      <w:tr w14:paraId="59858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BCC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C2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支撑面工作方向的位置公差</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787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AFA3">
            <w:pPr>
              <w:jc w:val="left"/>
              <w:rPr>
                <w:rFonts w:hint="eastAsia" w:ascii="宋体" w:hAnsi="宋体" w:eastAsia="宋体" w:cs="宋体"/>
                <w:i w:val="0"/>
                <w:iCs w:val="0"/>
                <w:color w:val="000000"/>
                <w:sz w:val="24"/>
                <w:szCs w:val="24"/>
                <w:highlight w:val="none"/>
                <w:u w:val="none"/>
              </w:rPr>
            </w:pPr>
          </w:p>
        </w:tc>
      </w:tr>
      <w:tr w14:paraId="281DC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508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7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A9D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定位销的伸出有效长度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F39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3～5mm</w:t>
            </w:r>
          </w:p>
        </w:tc>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D6F0C">
            <w:pPr>
              <w:rPr>
                <w:rFonts w:hint="eastAsia" w:ascii="宋体" w:hAnsi="宋体" w:eastAsia="宋体" w:cs="宋体"/>
                <w:i w:val="0"/>
                <w:iCs w:val="0"/>
                <w:color w:val="000000"/>
                <w:sz w:val="22"/>
                <w:szCs w:val="22"/>
                <w:highlight w:val="none"/>
                <w:u w:val="none"/>
              </w:rPr>
            </w:pPr>
          </w:p>
        </w:tc>
      </w:tr>
    </w:tbl>
    <w:p w14:paraId="19F05D42">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线体内应留出足够的空间，以保证工装能够使用关节臂三坐标测量机一次性测量完毕（现有的关节臂测量范围直径3600mm）。</w:t>
      </w:r>
    </w:p>
    <w:p w14:paraId="64945C18">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总拼工位和侧围BASE板厚度不得低于30mm，其他BASE板厚度不得低于25mm；BASE板下部H钢厚度≥14mm，H钢布置中心距≤600mm；焊接焊段长度≥50mm，焊段间距≤100mm。以上为基础标准原则，投标方应在充分保障产品质量和工装使用寿命的前提下以不低于基础标准的前提下进行设计。</w:t>
      </w:r>
    </w:p>
    <w:p w14:paraId="36A0FED3">
      <w:pPr>
        <w:pStyle w:val="59"/>
        <w:widowControl/>
        <w:numPr>
          <w:ilvl w:val="0"/>
          <w:numId w:val="29"/>
        </w:numPr>
        <w:spacing w:line="360" w:lineRule="auto"/>
        <w:ind w:left="357" w:firstLine="480"/>
        <w:contextualSpacing/>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工装BASE板上应加工出合适的三坐标测量基准孔，该基准应同时适用或分别适用固定式和关节臂式三坐标测量设备。为了便于测量，夹具基准孔在平台上的位置不应与其它装置干涉，夹具基准孔的位置、数量3处以上，间距1200mm以内，具体位置、数量在图纸会签时确定。基准孔坐标要求打码在基准孔附近，并对基准孔使用防护盖进行防护。</w:t>
      </w:r>
      <w:r>
        <w:rPr>
          <w:rFonts w:hint="eastAsia" w:ascii="宋体" w:hAnsi="宋体" w:eastAsia="宋体" w:cs="宋体"/>
          <w:color w:val="000000"/>
          <w:sz w:val="24"/>
          <w:szCs w:val="24"/>
          <w:highlight w:val="none"/>
        </w:rPr>
        <w:t>夹具基准孔的直径以及公差为Ф10mmH7</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夹具基准孔间的相对位置公差±0.02mm</w:t>
      </w:r>
      <w:r>
        <w:rPr>
          <w:rFonts w:hint="eastAsia" w:ascii="宋体" w:hAnsi="宋体" w:eastAsia="宋体" w:cs="宋体"/>
          <w:color w:val="000000"/>
          <w:sz w:val="24"/>
          <w:szCs w:val="24"/>
          <w:highlight w:val="none"/>
          <w:lang w:eastAsia="zh-CN"/>
        </w:rPr>
        <w:t>。</w:t>
      </w:r>
    </w:p>
    <w:p w14:paraId="5E525E03">
      <w:pPr>
        <w:ind w:left="42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1720850" cy="1238250"/>
            <wp:effectExtent l="0" t="0" r="1270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a:stretch>
                      <a:fillRect/>
                    </a:stretch>
                  </pic:blipFill>
                  <pic:spPr>
                    <a:xfrm>
                      <a:off x="0" y="0"/>
                      <a:ext cx="1720850" cy="1238250"/>
                    </a:xfrm>
                    <a:prstGeom prst="rect">
                      <a:avLst/>
                    </a:prstGeom>
                    <a:noFill/>
                    <a:ln>
                      <a:noFill/>
                    </a:ln>
                  </pic:spPr>
                </pic:pic>
              </a:graphicData>
            </a:graphic>
          </wp:inline>
        </w:drawing>
      </w:r>
    </w:p>
    <w:p w14:paraId="32B80B70">
      <w:pPr>
        <w:pStyle w:val="59"/>
        <w:widowControl/>
        <w:numPr>
          <w:ilvl w:val="0"/>
          <w:numId w:val="29"/>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在夹具基准孔的旁边打上夹具基准孔的位置标记</w:t>
      </w:r>
      <w:r>
        <w:rPr>
          <w:rFonts w:hint="eastAsia" w:ascii="宋体" w:hAnsi="宋体" w:eastAsia="宋体" w:cs="宋体"/>
          <w:sz w:val="24"/>
          <w:szCs w:val="24"/>
          <w:highlight w:val="none"/>
          <w:lang w:val="en-US" w:eastAsia="zh-CN"/>
        </w:rPr>
        <w:t>如下图所示。</w:t>
      </w:r>
    </w:p>
    <w:p w14:paraId="72DCE36A">
      <w:pPr>
        <w:ind w:firstLine="3000" w:firstLineChars="125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2282825" cy="970915"/>
            <wp:effectExtent l="0" t="0" r="317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a:stretch>
                      <a:fillRect/>
                    </a:stretch>
                  </pic:blipFill>
                  <pic:spPr>
                    <a:xfrm>
                      <a:off x="0" y="0"/>
                      <a:ext cx="2282825" cy="970915"/>
                    </a:xfrm>
                    <a:prstGeom prst="rect">
                      <a:avLst/>
                    </a:prstGeom>
                    <a:noFill/>
                    <a:ln>
                      <a:noFill/>
                    </a:ln>
                  </pic:spPr>
                </pic:pic>
              </a:graphicData>
            </a:graphic>
          </wp:inline>
        </w:drawing>
      </w:r>
    </w:p>
    <w:p w14:paraId="3649AF8D">
      <w:pPr>
        <w:ind w:firstLine="3000" w:firstLineChars="1250"/>
        <w:rPr>
          <w:rFonts w:hint="eastAsia" w:ascii="宋体" w:hAnsi="宋体" w:eastAsia="宋体" w:cs="宋体"/>
          <w:kern w:val="0"/>
          <w:sz w:val="24"/>
          <w:szCs w:val="24"/>
          <w:highlight w:val="none"/>
        </w:rPr>
      </w:pPr>
    </w:p>
    <w:p w14:paraId="31EC49F1">
      <w:pPr>
        <w:pStyle w:val="59"/>
        <w:widowControl/>
        <w:numPr>
          <w:ilvl w:val="0"/>
          <w:numId w:val="29"/>
        </w:numPr>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夹具外漏的线缆（水电气）需要使用耐火材料进行包覆或者走线缆桥架，所有接近开关使用专用防护套进行保护，并提供防护套型号。</w:t>
      </w:r>
    </w:p>
    <w:p w14:paraId="22374E4C">
      <w:pPr>
        <w:pStyle w:val="133"/>
        <w:numPr>
          <w:ilvl w:val="0"/>
          <w:numId w:val="0"/>
        </w:numPr>
        <w:spacing w:line="360" w:lineRule="auto"/>
        <w:ind w:left="480" w:leftChars="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技术资料</w:t>
      </w:r>
    </w:p>
    <w:p w14:paraId="6E34F0BA">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投标方须在项目不同阶段向招标方提供项目资料，各阶段需提供资料如下表所示：</w:t>
      </w:r>
    </w:p>
    <w:tbl>
      <w:tblPr>
        <w:tblStyle w:val="38"/>
        <w:tblW w:w="9303"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3435"/>
        <w:gridCol w:w="1100"/>
        <w:gridCol w:w="1888"/>
        <w:gridCol w:w="2325"/>
      </w:tblGrid>
      <w:tr w14:paraId="1B6C3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BA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FC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资料名称</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3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设计审查</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DD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终验收</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309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3427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A4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4A2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焊接生产线详细平面布局图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9A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51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E6B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315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E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9661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焊接生产线水电气布置图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377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9F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9B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D14E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74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63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设备安装基础图（地基图）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91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19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7F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C01B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5A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D68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焊枪位置图（挂枪图）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37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38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69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ADBA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D8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D1B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焊接生产线人员分布图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861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FD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E4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F7D6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8A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BA6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水电气能耗表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C5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52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A5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F5E6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AE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BB7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工艺设备清单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76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4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86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C551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7D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7C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生产线人员配置表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0C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5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19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FDF5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9E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4328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焊枪式样图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28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0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AE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2F44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4E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619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夹具方案书（含 3D 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64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B5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91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8149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096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E1BF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工位焊点信息图（3D）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18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61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8B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4A5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CA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148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范例程序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F5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7A1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9D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78EB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6F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84C3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焊接工艺卡片</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14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69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6B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CABE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AF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957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工位节拍明细（时序图）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B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05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06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CA4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4F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D50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易损件及备件明细、图纸（含夹具）</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4D0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9D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D6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3D7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F4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6B2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标准件手册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7A2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AC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3B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F4FB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D9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7B9A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各专项设备操作使用手册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F2C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4E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08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513E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77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830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检查维修手册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A46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F8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CD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EAB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58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27A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电气原理图（含逻辑电路图）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CA7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FF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DE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611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F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C6F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气路原理图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DA1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13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94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4F3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E5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0A90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传动系统图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AC5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3A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16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EA7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C6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B02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电气接线图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4BB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E6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0C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92B0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11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CC5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标准程序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26D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72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19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20D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0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4F3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PC 机梯形图</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DCB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1A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B7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42EC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9E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3D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外购件明细表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F8E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86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A0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5FE7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3FC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CFFC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设备编程手册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C36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63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E5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B5DB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FA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96A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系统软件</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A4F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3A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42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FE8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84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D5F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夹具检测报告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84F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0A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7C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C5A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FB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FDB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各设备检验合格证</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5C0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25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D3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FD1C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CD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D0E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定位销及定位面硬度报告</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0E3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3F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F21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7164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55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54C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最终版仿真数据</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2AD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1B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72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0722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20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54F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机器人离线程序</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8B4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F0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BB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885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87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53F6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998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61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9D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885F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E8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D7B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夹具CATIA可编辑格式和2D图DWG</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E06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84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E3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2F78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83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472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备品、备件清单、图纸（2D+3D）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FDE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09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BE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3A25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2A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446A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所有定位销图纸资料(2D CAD和3D)</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369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2D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07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224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55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D74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电气元件汇总表</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464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F7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F3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DD12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51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AB97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元器件样本、图册</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213C">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FF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91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784C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B5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7C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润滑油类型及材料属性资料</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3F47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ED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F0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49E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D7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B01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1408">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D6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43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5EA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5C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w:t>
            </w:r>
          </w:p>
        </w:tc>
        <w:tc>
          <w:tcPr>
            <w:tcW w:w="3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C99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工艺参数调试记录单</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0E4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48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016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bl>
    <w:p w14:paraId="717BA7F9">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3B89AEC4">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投标方应在项目各阶段，按照招标方要求的格式和内容提供相应文件。</w:t>
      </w:r>
    </w:p>
    <w:p w14:paraId="7F7112CF">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根据验收要求，在设备有改动时，投标方要提供更新的技术文件。</w:t>
      </w:r>
    </w:p>
    <w:p w14:paraId="5B531C1B">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所有文件都要配备中文。</w:t>
      </w:r>
    </w:p>
    <w:p w14:paraId="70893227">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为保证现场验收满足招标方的要求，投标方应提交所有其提供设备的有关文件，由另一家公司提供的文件必须提交原件，不允许提供复印件，投标方丢失的任何文件必须免费补上。</w:t>
      </w:r>
    </w:p>
    <w:p w14:paraId="6CDC62F1">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图纸交付文件格式：CATIA V5R20（可编辑）、AUTOCAD2008、PDF格式。</w:t>
      </w:r>
    </w:p>
    <w:p w14:paraId="3122A85A">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终验收时提交的电子文档应包含设计审查和预验收阶段提交的文件。</w:t>
      </w:r>
    </w:p>
    <w:p w14:paraId="37295091">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项目各阶段所需的电子资料以U盘形式提交。</w:t>
      </w:r>
    </w:p>
    <w:p w14:paraId="2B110014">
      <w:pPr>
        <w:pStyle w:val="59"/>
        <w:keepNext w:val="0"/>
        <w:keepLines w:val="0"/>
        <w:pageBreakBefore w:val="0"/>
        <w:widowControl/>
        <w:numPr>
          <w:ilvl w:val="0"/>
          <w:numId w:val="30"/>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投标方采购的设备，相关资料文件由投标方负责收集。</w:t>
      </w:r>
    </w:p>
    <w:p w14:paraId="36E52A22">
      <w:pPr>
        <w:widowControl/>
        <w:jc w:val="left"/>
        <w:rPr>
          <w:rFonts w:hint="eastAsia" w:ascii="宋体" w:hAnsi="宋体" w:eastAsia="等线" w:cs="Times New Roman"/>
          <w:b/>
          <w:sz w:val="28"/>
          <w:szCs w:val="24"/>
          <w:highlight w:val="none"/>
          <w:lang w:val="en-GB"/>
        </w:rPr>
      </w:pPr>
      <w:r>
        <w:rPr>
          <w:rFonts w:ascii="宋体" w:hAnsi="宋体" w:eastAsia="等线" w:cs="Times New Roman"/>
          <w:b/>
          <w:sz w:val="28"/>
          <w:szCs w:val="24"/>
          <w:highlight w:val="none"/>
          <w:lang w:val="en-GB"/>
        </w:rPr>
        <w:br w:type="page"/>
      </w:r>
    </w:p>
    <w:p w14:paraId="5C938E74">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2" w:name="_Toc2566"/>
      <w:bookmarkStart w:id="43" w:name="_Toc15157"/>
      <w:r>
        <w:rPr>
          <w:rFonts w:hint="eastAsia" w:ascii="黑体" w:hAnsi="等线" w:eastAsia="黑体" w:cs="Times New Roman"/>
          <w:kern w:val="44"/>
          <w:sz w:val="28"/>
          <w:szCs w:val="28"/>
          <w:highlight w:val="none"/>
          <w:lang w:val="en-GB"/>
        </w:rPr>
        <w:t>第三章  供货范围及供货方式</w:t>
      </w:r>
      <w:bookmarkEnd w:id="42"/>
      <w:bookmarkEnd w:id="43"/>
    </w:p>
    <w:p w14:paraId="5E569DA9">
      <w:pPr>
        <w:keepNext/>
        <w:keepLines/>
        <w:spacing w:before="120" w:after="120" w:line="360" w:lineRule="auto"/>
        <w:jc w:val="center"/>
        <w:outlineLvl w:val="1"/>
        <w:rPr>
          <w:rFonts w:hint="eastAsia" w:ascii="宋体" w:hAnsi="宋体" w:eastAsia="宋体" w:cs="Times New Roman"/>
          <w:sz w:val="24"/>
          <w:szCs w:val="24"/>
          <w:highlight w:val="none"/>
        </w:rPr>
      </w:pPr>
      <w:bookmarkStart w:id="44" w:name="_Toc9658381"/>
      <w:r>
        <w:rPr>
          <w:rFonts w:hint="eastAsia" w:ascii="宋体" w:hAnsi="宋体" w:eastAsia="宋体" w:cs="Times New Roman"/>
          <w:sz w:val="24"/>
          <w:szCs w:val="24"/>
          <w:highlight w:val="none"/>
        </w:rPr>
        <w:t>第一节</w:t>
      </w:r>
      <w:r>
        <w:rPr>
          <w:rFonts w:ascii="宋体" w:hAnsi="宋体" w:eastAsia="宋体" w:cs="Times New Roman"/>
          <w:sz w:val="24"/>
          <w:szCs w:val="24"/>
          <w:highlight w:val="none"/>
        </w:rPr>
        <w:t xml:space="preserve">  </w:t>
      </w:r>
      <w:r>
        <w:rPr>
          <w:rFonts w:hint="eastAsia" w:ascii="宋体" w:hAnsi="宋体" w:eastAsia="宋体" w:cs="Times New Roman"/>
          <w:sz w:val="24"/>
          <w:szCs w:val="24"/>
          <w:highlight w:val="none"/>
        </w:rPr>
        <w:t>供货范围</w:t>
      </w:r>
      <w:bookmarkEnd w:id="44"/>
    </w:p>
    <w:p w14:paraId="45C43B1D">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一、供货范围</w:t>
      </w:r>
    </w:p>
    <w:p w14:paraId="4AB29B33">
      <w:pPr>
        <w:spacing w:line="360" w:lineRule="auto"/>
        <w:ind w:firstLine="241" w:firstLineChars="100"/>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3EDCC1B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、包括本技术标书所列明的主要货物及货物正常运行所必需的全套连线设备、材料等，如货物端联接法兰外端面之内的、电气系统接口压线板（插座等）之内的设备、材料、联接螺栓、垫片等。</w:t>
      </w:r>
    </w:p>
    <w:p w14:paraId="28E92F0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、包括为保证货物正常安装、调试和验收完成及以前所必需的整套配件、附件及材料、油料、控制软件及程序或指令等。</w:t>
      </w:r>
    </w:p>
    <w:p w14:paraId="430AA89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14:paraId="239E96A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、包括货物维护维修所必需的专用工具。</w:t>
      </w:r>
    </w:p>
    <w:p w14:paraId="6E2C773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3C198F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7D910AC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14:paraId="154FB1F3">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7A49546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、招标方提供货物所需的建筑物（如厂房等）和构筑物（如混凝土池、砼基础等），包含正常安装施工所需的预埋件（如穿管、预埋螺栓、螺母及垫片）。</w:t>
      </w:r>
    </w:p>
    <w:p w14:paraId="7B109E0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招标方提供符合本技术标书中“采购货物概况”和“使用环境”章节所列明品质的电力、自来水、压缩空气、蒸汽、天然气（或煤气）管线至系统接口，如：系统电力接口的接线端，水、气、汽等外围管线端联接法兰外端面。</w:t>
      </w:r>
    </w:p>
    <w:p w14:paraId="4F6378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如果投标方认为能源系统接口地点以及操控地点之间的货物数量不清或难以界定，应当以书面方式询标或以单价方式报价；否则视同满足招标方要求。</w:t>
      </w:r>
    </w:p>
    <w:p w14:paraId="184E8D0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、对于招标文件中无明确具体要求而投标方认为必须具备的其它货物，投标方必须将该部分货物单独报价（该报价含运杂费及税费等其它费用，而且不再作为其它报价涉及的其它费用的计算基数）。</w:t>
      </w:r>
    </w:p>
    <w:p w14:paraId="2BA0E6B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、以“交钥匙”方式采购的货物，在满足技术标书本节上述要求之外，同时包括货物正常运行、使用所需要的过桥、护栏、防护网、盖板等辅助设施。</w:t>
      </w:r>
    </w:p>
    <w:p w14:paraId="359D7F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二、备品备件、易损件和专用耗材供货范围</w:t>
      </w:r>
    </w:p>
    <w:p w14:paraId="74F1F43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、备品备件、易损件和专用耗材是招标方为保证货物质保期之后正常运行一年所自备自用的备品备件、易损件和专用耗材。</w:t>
      </w:r>
    </w:p>
    <w:p w14:paraId="52072CC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6EBCA40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、供货范围包括易损件和专用耗材的制造图纸及其技术要求等资料，如涉及专有技术或无法提供，应在投标文件中予以澄清或说明。</w:t>
      </w:r>
    </w:p>
    <w:p w14:paraId="053366F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三、技术资料供货范围</w:t>
      </w:r>
    </w:p>
    <w:p w14:paraId="4FC67F0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768E7A8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、在合同签订后</w:t>
      </w:r>
      <w:r>
        <w:rPr>
          <w:rFonts w:ascii="宋体" w:hAnsi="宋体" w:eastAsia="宋体" w:cs="宋体"/>
          <w:sz w:val="24"/>
          <w:szCs w:val="24"/>
          <w:highlight w:val="none"/>
          <w:u w:val="single"/>
          <w:shd w:val="pct10" w:color="auto" w:fill="FFFFFF"/>
        </w:rPr>
        <w:t xml:space="preserve">30 </w:t>
      </w:r>
      <w:r>
        <w:rPr>
          <w:rFonts w:hint="eastAsia" w:ascii="宋体" w:hAnsi="宋体" w:eastAsia="宋体" w:cs="宋体"/>
          <w:sz w:val="24"/>
          <w:szCs w:val="24"/>
          <w:highlight w:val="none"/>
        </w:rPr>
        <w:t>个日历日内，提供货物基础及相关的设计、制作所需的纸质及电子版资料；电子版文件应当能够使用常用版本软件可以阅读甚至使用，进口货物、设备应有中外文对照。</w:t>
      </w:r>
    </w:p>
    <w:p w14:paraId="2C85CF3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、在预验收前，提供货物各部分的功能描述文件、图片、影像等资料（进口、设备应有中外文对照）。</w:t>
      </w:r>
    </w:p>
    <w:p w14:paraId="0155DC5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、在终验收前，提供为保证货物后续正常运行所需的工装、吊（挂）具明细及其图纸、具体技术要求等资料（如果供货范围包含该部分实物）。</w:t>
      </w:r>
    </w:p>
    <w:p w14:paraId="46C1D8A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、在终验收前，提供确定的维修所需要且招标方可以自行采购的外购件、外协件、电气元件及主要原材料的供货厂家明细表。</w:t>
      </w:r>
    </w:p>
    <w:p w14:paraId="1B19FA4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、在终验收后、终验收后的第一笔货款支付日之前，提供包括货物的备品备件、易损件和专用耗材的图纸及技术参数、技术要求等资料。</w:t>
      </w:r>
    </w:p>
    <w:p w14:paraId="6128628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FB243B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56F336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、本条款所列的技术资料、图片、影像等，投标方应各提供</w:t>
      </w:r>
      <w:r>
        <w:rPr>
          <w:rFonts w:ascii="宋体" w:hAnsi="宋体" w:eastAsia="宋体" w:cs="宋体"/>
          <w:sz w:val="24"/>
          <w:szCs w:val="24"/>
          <w:highlight w:val="none"/>
        </w:rPr>
        <w:t>5</w:t>
      </w:r>
      <w:r>
        <w:rPr>
          <w:rFonts w:hint="eastAsia" w:ascii="宋体" w:hAnsi="宋体" w:eastAsia="宋体" w:cs="宋体"/>
          <w:sz w:val="24"/>
          <w:szCs w:val="24"/>
          <w:highlight w:val="none"/>
        </w:rPr>
        <w:t>套，其中</w:t>
      </w:r>
      <w:r>
        <w:rPr>
          <w:rFonts w:ascii="宋体" w:hAnsi="宋体" w:eastAsia="宋体" w:cs="宋体"/>
          <w:sz w:val="24"/>
          <w:szCs w:val="24"/>
          <w:highlight w:val="none"/>
        </w:rPr>
        <w:t>2</w:t>
      </w:r>
      <w:r>
        <w:rPr>
          <w:rFonts w:hint="eastAsia" w:ascii="宋体" w:hAnsi="宋体" w:eastAsia="宋体" w:cs="宋体"/>
          <w:sz w:val="24"/>
          <w:szCs w:val="24"/>
          <w:highlight w:val="none"/>
        </w:rPr>
        <w:t>套为电子版光（软）盘；每份技术文件应装有目录清单。</w:t>
      </w:r>
    </w:p>
    <w:p w14:paraId="0A2023E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、本条款所列要求，如招标方认为投标方提供的资料不能满足要求时，有权要求投标方免费补充或增加。</w:t>
      </w:r>
    </w:p>
    <w:p w14:paraId="7C72C36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四、供货范围特别提示</w:t>
      </w:r>
    </w:p>
    <w:p w14:paraId="0793826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如果投标方认为本节所列的供货范围难以满足，则仍需要按照本要求提供，但该部分货物应当在投标报价中单独列明货物名称及品质、货值。</w:t>
      </w:r>
    </w:p>
    <w:p w14:paraId="76C3EDF8">
      <w:pPr>
        <w:rPr>
          <w:rFonts w:hint="eastAsia" w:ascii="宋体" w:hAnsi="宋体" w:eastAsia="宋体" w:cs="宋体"/>
          <w:sz w:val="24"/>
          <w:szCs w:val="24"/>
          <w:highlight w:val="none"/>
        </w:rPr>
      </w:pPr>
      <w:r>
        <w:rPr>
          <w:rFonts w:ascii="宋体" w:hAnsi="宋体" w:eastAsia="宋体" w:cs="宋体"/>
          <w:sz w:val="24"/>
          <w:szCs w:val="24"/>
          <w:highlight w:val="none"/>
        </w:rPr>
        <w:br w:type="page"/>
      </w:r>
    </w:p>
    <w:p w14:paraId="3D1E47D8">
      <w:pPr>
        <w:keepNext/>
        <w:keepLines/>
        <w:spacing w:before="120" w:after="120" w:line="360" w:lineRule="auto"/>
        <w:jc w:val="center"/>
        <w:outlineLvl w:val="1"/>
        <w:rPr>
          <w:rFonts w:ascii="Arial" w:hAnsi="Arial" w:eastAsia="宋体" w:cs="Times New Roman"/>
          <w:sz w:val="24"/>
          <w:szCs w:val="24"/>
          <w:highlight w:val="none"/>
        </w:rPr>
      </w:pPr>
      <w:bookmarkStart w:id="45" w:name="_Toc9658382"/>
      <w:r>
        <w:rPr>
          <w:rFonts w:hint="eastAsia" w:ascii="Arial" w:hAnsi="Arial" w:eastAsia="宋体" w:cs="Times New Roman"/>
          <w:sz w:val="24"/>
          <w:szCs w:val="24"/>
          <w:highlight w:val="none"/>
        </w:rPr>
        <w:t>第二节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供货方式</w:t>
      </w:r>
      <w:bookmarkEnd w:id="45"/>
    </w:p>
    <w:p w14:paraId="4D8CD3F0">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一、供货方式</w:t>
      </w:r>
    </w:p>
    <w:p w14:paraId="09FB116B">
      <w:pPr>
        <w:spacing w:line="360" w:lineRule="auto"/>
        <w:ind w:firstLine="480" w:firstLineChars="200"/>
        <w:rPr>
          <w:rFonts w:hint="eastAsia"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14:paraId="4406B83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二、供货地点：</w:t>
      </w:r>
      <w:r>
        <w:rPr>
          <w:rFonts w:hint="eastAsia" w:ascii="宋体" w:hAnsi="宋体" w:eastAsia="宋体" w:cs="宋体"/>
          <w:sz w:val="24"/>
          <w:szCs w:val="24"/>
          <w:highlight w:val="none"/>
          <w:lang w:val="en-US" w:eastAsia="zh-CN"/>
        </w:rPr>
        <w:t>济南轻卡制造公司</w:t>
      </w:r>
      <w:r>
        <w:rPr>
          <w:rFonts w:hint="eastAsia" w:ascii="宋体" w:hAnsi="宋体" w:eastAsia="宋体" w:cs="宋体"/>
          <w:sz w:val="24"/>
          <w:szCs w:val="24"/>
          <w:highlight w:val="none"/>
        </w:rPr>
        <w:t>。</w:t>
      </w:r>
    </w:p>
    <w:p w14:paraId="1228ABA9">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三、供货时间</w:t>
      </w:r>
    </w:p>
    <w:p w14:paraId="2C412AFD">
      <w:pPr>
        <w:pStyle w:val="17"/>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w:t>
      </w:r>
    </w:p>
    <w:p w14:paraId="6C877621">
      <w:pPr>
        <w:pStyle w:val="17"/>
        <w:spacing w:line="360" w:lineRule="auto"/>
        <w:ind w:firstLine="480" w:firstLineChars="200"/>
        <w:rPr>
          <w:rFonts w:hint="eastAsia" w:hAnsi="宋体" w:eastAsia="宋体" w:cs="宋体"/>
          <w:color w:val="FF0000"/>
          <w:sz w:val="24"/>
          <w:szCs w:val="24"/>
          <w:highlight w:val="none"/>
          <w:lang w:eastAsia="zh-CN"/>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21</w:t>
      </w:r>
      <w:r>
        <w:rPr>
          <w:rFonts w:hint="eastAsia" w:hAnsi="宋体" w:eastAsia="宋体" w:cs="宋体"/>
          <w:color w:val="FF0000"/>
          <w:sz w:val="24"/>
          <w:szCs w:val="24"/>
          <w:highlight w:val="none"/>
        </w:rPr>
        <w:t>日设备进场</w:t>
      </w:r>
      <w:r>
        <w:rPr>
          <w:rFonts w:hint="eastAsia" w:hAnsi="宋体" w:eastAsia="宋体" w:cs="宋体"/>
          <w:color w:val="FF0000"/>
          <w:sz w:val="24"/>
          <w:szCs w:val="24"/>
          <w:highlight w:val="none"/>
          <w:lang w:eastAsia="zh-CN"/>
        </w:rPr>
        <w:t>；</w:t>
      </w:r>
    </w:p>
    <w:p w14:paraId="1457E03F">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26</w:t>
      </w:r>
      <w:r>
        <w:rPr>
          <w:rFonts w:hint="eastAsia" w:hAnsi="宋体" w:eastAsia="宋体" w:cs="宋体"/>
          <w:color w:val="FF0000"/>
          <w:sz w:val="24"/>
          <w:szCs w:val="24"/>
          <w:highlight w:val="none"/>
        </w:rPr>
        <w:t>日</w:t>
      </w:r>
      <w:r>
        <w:rPr>
          <w:rFonts w:hint="eastAsia" w:hAnsi="宋体" w:eastAsia="宋体" w:cs="宋体"/>
          <w:color w:val="FF0000"/>
          <w:sz w:val="24"/>
          <w:szCs w:val="24"/>
          <w:highlight w:val="none"/>
          <w:lang w:val="en-US" w:eastAsia="zh-CN"/>
        </w:rPr>
        <w:t>安装调试完成；</w:t>
      </w:r>
    </w:p>
    <w:p w14:paraId="49E0EDC0">
      <w:pPr>
        <w:pStyle w:val="17"/>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w:t>
      </w:r>
      <w:r>
        <w:rPr>
          <w:rFonts w:hint="eastAsia" w:hAnsi="宋体" w:eastAsia="宋体" w:cs="宋体"/>
          <w:color w:val="FF0000"/>
          <w:sz w:val="24"/>
          <w:szCs w:val="24"/>
          <w:highlight w:val="none"/>
          <w:lang w:val="en-US" w:eastAsia="zh-CN"/>
        </w:rPr>
        <w:t>6</w:t>
      </w:r>
      <w:r>
        <w:rPr>
          <w:rFonts w:hint="eastAsia" w:hAnsi="宋体" w:eastAsia="宋体" w:cs="宋体"/>
          <w:color w:val="FF0000"/>
          <w:sz w:val="24"/>
          <w:szCs w:val="24"/>
          <w:highlight w:val="none"/>
        </w:rPr>
        <w:t>年</w:t>
      </w:r>
      <w:r>
        <w:rPr>
          <w:rFonts w:hint="eastAsia" w:hAnsi="宋体" w:eastAsia="宋体" w:cs="宋体"/>
          <w:color w:val="FF0000"/>
          <w:sz w:val="24"/>
          <w:szCs w:val="24"/>
          <w:highlight w:val="none"/>
          <w:lang w:val="en-US" w:eastAsia="zh-CN"/>
        </w:rPr>
        <w:t>5</w:t>
      </w:r>
      <w:r>
        <w:rPr>
          <w:rFonts w:hint="eastAsia" w:hAnsi="宋体" w:eastAsia="宋体" w:cs="宋体"/>
          <w:color w:val="FF0000"/>
          <w:sz w:val="24"/>
          <w:szCs w:val="24"/>
          <w:highlight w:val="none"/>
        </w:rPr>
        <w:t>月</w:t>
      </w:r>
      <w:r>
        <w:rPr>
          <w:rFonts w:hint="eastAsia" w:hAnsi="宋体" w:eastAsia="宋体" w:cs="宋体"/>
          <w:color w:val="FF0000"/>
          <w:sz w:val="24"/>
          <w:szCs w:val="24"/>
          <w:highlight w:val="none"/>
          <w:lang w:val="en-US" w:eastAsia="zh-CN"/>
        </w:rPr>
        <w:t>31</w:t>
      </w:r>
      <w:r>
        <w:rPr>
          <w:rFonts w:hint="eastAsia" w:hAnsi="宋体" w:eastAsia="宋体" w:cs="宋体"/>
          <w:color w:val="FF0000"/>
          <w:sz w:val="24"/>
          <w:szCs w:val="24"/>
          <w:highlight w:val="none"/>
        </w:rPr>
        <w:t>日具备批量生产能力。</w:t>
      </w:r>
    </w:p>
    <w:p w14:paraId="7EDCA904">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安装调试时间或终验收时间超过规定时间的，投标方应当随标书提供详细的工期计划。</w:t>
      </w:r>
    </w:p>
    <w:p w14:paraId="3F9FBC7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四、包装</w:t>
      </w:r>
    </w:p>
    <w:p w14:paraId="107A5F6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、所提供货物（或设备）的包装，应遵照国家标准和有关包装、包皮的技术条件，或按照最好的商业惯例进行包装。</w:t>
      </w:r>
    </w:p>
    <w:p w14:paraId="106BFC0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、包装应能满足所需要采取的运输方式（船运、汽运或铁路运输）、多次吊装卸装、卸货以及长期露天堆放要求，应能防止雨淋、受潮、生锈、腐蚀、受振、受磁以及机械和化学因素等引起的损坏。</w:t>
      </w:r>
    </w:p>
    <w:p w14:paraId="09937A3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、所提供货物（或设备）的包装，应能防止其一般性被窃或受外力破坏；一般不得采用有大缝隙的板条包装。</w:t>
      </w:r>
    </w:p>
    <w:p w14:paraId="0BFAFB4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、应对包装件做必要的加固和固定，以防止运输可能造成的损坏。</w:t>
      </w:r>
    </w:p>
    <w:p w14:paraId="0F3E4E4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、每个包装件应有装箱单，并至少标明名称、型号规格、数量、净重和毛重、投标方（或供货商）名称和制造日期等相关内容。</w:t>
      </w:r>
    </w:p>
    <w:p w14:paraId="56BBAE98">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、每个包装箱应有明显标志，并具有中文书写的合同号、装运标志、发货和到货地点名称、发货人和收货人名称、货物名称和项目号、箱号和外型尺寸等内容。</w:t>
      </w:r>
    </w:p>
    <w:p w14:paraId="47E5D5E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、应按照不同的装运要求在包装箱上标明“小心轻放”、“箭头向上”、“防潮”、“防磁”、“不准平放”等标志，以及其它适用的国标通用标志。</w:t>
      </w:r>
    </w:p>
    <w:p w14:paraId="5A12DCC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、包装箱应连续编号，不应出现重复编号。</w:t>
      </w:r>
    </w:p>
    <w:p w14:paraId="0E16A60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、在不受到外界破坏情况下，包装应保证自交货日起一年内货物（或设备）完好无损。</w:t>
      </w:r>
    </w:p>
    <w:p w14:paraId="423EEF9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五、运输</w:t>
      </w:r>
    </w:p>
    <w:p w14:paraId="56B8044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、应负责将货物（或设备）运到目的地，并必须做到货物（或设备）在任何运输过程中不受损坏和遗失。</w:t>
      </w:r>
    </w:p>
    <w:p w14:paraId="36630C9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、同批货物（或设备）应统一包装、编号运输。</w:t>
      </w:r>
    </w:p>
    <w:p w14:paraId="2D051853">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、一般情况下，经由铁路、公路运输的包装件尺寸和重量不应超过国家所规定的尺寸限制。特殊情况应予以说明。</w:t>
      </w:r>
    </w:p>
    <w:p w14:paraId="166B6B2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、在每批货物（或设备）发出后，应立即通知招标方；通知中应指明：合同号、货运单号、件数、重量和货物（或设备）发出日期等相关内容。</w:t>
      </w:r>
    </w:p>
    <w:p w14:paraId="055E631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、货物（或设备）运抵交货地点后，应负责货物（或设备）的卸货、搬运、保管等事宜；或按照合同约定。</w:t>
      </w:r>
    </w:p>
    <w:p w14:paraId="4110EF32">
      <w:pPr>
        <w:rPr>
          <w:rFonts w:hint="eastAsia" w:ascii="黑体" w:hAnsi="等线" w:eastAsia="黑体" w:cs="Times New Roman"/>
          <w:sz w:val="24"/>
          <w:szCs w:val="24"/>
          <w:highlight w:val="none"/>
        </w:rPr>
      </w:pPr>
      <w:bookmarkStart w:id="46" w:name="_Toc9658383"/>
      <w:r>
        <w:rPr>
          <w:rFonts w:ascii="黑体" w:hAnsi="等线" w:eastAsia="黑体" w:cs="Times New Roman"/>
          <w:sz w:val="24"/>
          <w:szCs w:val="24"/>
          <w:highlight w:val="none"/>
        </w:rPr>
        <w:br w:type="page"/>
      </w:r>
    </w:p>
    <w:p w14:paraId="787BD67A">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7" w:name="_Toc24457"/>
      <w:bookmarkStart w:id="48" w:name="_Toc18023"/>
      <w:r>
        <w:rPr>
          <w:rFonts w:hint="eastAsia" w:ascii="黑体" w:hAnsi="等线" w:eastAsia="黑体" w:cs="Times New Roman"/>
          <w:kern w:val="44"/>
          <w:sz w:val="28"/>
          <w:szCs w:val="28"/>
          <w:highlight w:val="none"/>
          <w:lang w:val="en-GB"/>
        </w:rPr>
        <w:t>第四章  质保期及售后服务</w:t>
      </w:r>
      <w:bookmarkEnd w:id="46"/>
      <w:bookmarkEnd w:id="47"/>
      <w:bookmarkEnd w:id="48"/>
    </w:p>
    <w:p w14:paraId="4F75136C">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一、质保期及质保要求</w:t>
      </w:r>
    </w:p>
    <w:p w14:paraId="689612AF">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lang w:val="en-US" w:eastAsia="zh-CN"/>
        </w:rPr>
        <w:t xml:space="preserve"> 壹 </w:t>
      </w:r>
      <w:r>
        <w:rPr>
          <w:rFonts w:hint="eastAsia" w:ascii="宋体" w:hAnsi="宋体" w:eastAsia="宋体" w:cs="宋体"/>
          <w:sz w:val="24"/>
          <w:szCs w:val="24"/>
          <w:highlight w:val="none"/>
        </w:rPr>
        <w:t>年。</w:t>
      </w:r>
    </w:p>
    <w:p w14:paraId="6296E4E9">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14:paraId="5B840357">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41E14CC6">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1936EC76">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、质保期内免费提供零部件和及时有效的服务。质保期内因货物本身缺陷造成的各种故障，投标方应负责免费维修和服务。</w:t>
      </w:r>
    </w:p>
    <w:p w14:paraId="60041222">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、质保期终止之日起一年内重复出现的质保期之内出现的故障，仍属质保范围而且应当免费。</w:t>
      </w:r>
    </w:p>
    <w:p w14:paraId="5E58834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二、技术及培训服务</w:t>
      </w:r>
    </w:p>
    <w:p w14:paraId="1F52A56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、应免费提供一定数量的培训资料。</w:t>
      </w:r>
    </w:p>
    <w:p w14:paraId="69CC44D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、应按要求免费积极协助和提供招标方以及招标方所委托的工程设计单位有关人员所需要的、与货物有关的工程设计资料、技术咨询等。</w:t>
      </w:r>
    </w:p>
    <w:p w14:paraId="2EF1BDF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、若投标方提供货物涉及到外购外协货物、而且该货物的技术质量等较为关键时，投标方应能保证得到配套厂家的技术支持，并免费为招标方提供技术服务。</w:t>
      </w:r>
    </w:p>
    <w:p w14:paraId="2A8DCFC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三、安装调试及验收服务</w:t>
      </w:r>
    </w:p>
    <w:p w14:paraId="40FA776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51D224E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、若投标方提供的货物涉及到外购外协货物、而且该货物的技术质量等较为关键时，应保证能得到供应商的技术支持，并免费为招标方提供安装使用现场的指导与培训。</w:t>
      </w:r>
    </w:p>
    <w:p w14:paraId="79CB734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6A4AB9F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229D2D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、投标方应当向招标方提供货物试验、验收的有关标准、规范和方法，同时提供货物涉及并使用的软件合法性证明。</w:t>
      </w:r>
    </w:p>
    <w:p w14:paraId="6F582AD8">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、服务缺陷视同货物缺陷和履约延期。</w:t>
      </w:r>
    </w:p>
    <w:p w14:paraId="38D1BDC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四、售后服务</w:t>
      </w:r>
    </w:p>
    <w:p w14:paraId="237EDA0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、投标方提供的货物涉及的所有售后服务均由投标方负责。如果发生问题并且收到通知，投标方应当在</w:t>
      </w:r>
      <w:r>
        <w:rPr>
          <w:rFonts w:ascii="宋体" w:hAnsi="宋体" w:eastAsia="宋体" w:cs="宋体"/>
          <w:sz w:val="24"/>
          <w:szCs w:val="24"/>
          <w:highlight w:val="none"/>
        </w:rPr>
        <w:t>2</w:t>
      </w:r>
      <w:r>
        <w:rPr>
          <w:rFonts w:hint="eastAsia" w:ascii="宋体" w:hAnsi="宋体" w:eastAsia="宋体" w:cs="宋体"/>
          <w:sz w:val="24"/>
          <w:szCs w:val="24"/>
          <w:highlight w:val="none"/>
        </w:rPr>
        <w:t>小时内予以答复。</w:t>
      </w:r>
    </w:p>
    <w:p w14:paraId="018EAB3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、如发现所提供的货物存在问题，需要投标方解决或配合解决时：在质保期之内，应在接到通知后</w:t>
      </w:r>
      <w:r>
        <w:rPr>
          <w:rFonts w:ascii="宋体" w:hAnsi="宋体" w:eastAsia="宋体" w:cs="宋体"/>
          <w:sz w:val="24"/>
          <w:szCs w:val="24"/>
          <w:highlight w:val="none"/>
          <w:u w:val="single"/>
          <w:shd w:val="pct10" w:color="auto" w:fill="FFFFFF"/>
        </w:rPr>
        <w:t xml:space="preserve"> 48 </w:t>
      </w:r>
      <w:r>
        <w:rPr>
          <w:rFonts w:hint="eastAsia" w:ascii="宋体" w:hAnsi="宋体" w:eastAsia="宋体" w:cs="宋体"/>
          <w:sz w:val="24"/>
          <w:szCs w:val="24"/>
          <w:highlight w:val="none"/>
        </w:rPr>
        <w:t>小时内派有关人员到达现场；在质保期之外，应在接到通知后</w:t>
      </w:r>
      <w:r>
        <w:rPr>
          <w:rFonts w:ascii="宋体" w:hAnsi="宋体" w:eastAsia="宋体" w:cs="宋体"/>
          <w:sz w:val="24"/>
          <w:szCs w:val="24"/>
          <w:highlight w:val="none"/>
          <w:u w:val="single"/>
          <w:shd w:val="pct10" w:color="auto" w:fill="FFFFFF"/>
        </w:rPr>
        <w:t xml:space="preserve"> 72 </w:t>
      </w:r>
      <w:r>
        <w:rPr>
          <w:rFonts w:hint="eastAsia" w:ascii="宋体" w:hAnsi="宋体" w:eastAsia="宋体" w:cs="宋体"/>
          <w:sz w:val="24"/>
          <w:szCs w:val="24"/>
          <w:highlight w:val="none"/>
        </w:rPr>
        <w:t>小时内派有关人员到达现场。</w:t>
      </w:r>
    </w:p>
    <w:p w14:paraId="32F9C28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、投标方派往招标方使用现场的人员，应具有较高的业务素质；现场解决问题时，不得无故拖延或推迟，应为招标方提供最佳的服务。</w:t>
      </w:r>
    </w:p>
    <w:p w14:paraId="4CB03A3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五、其它服务</w:t>
      </w:r>
    </w:p>
    <w:p w14:paraId="6C5190C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、若投标方所提供货物有需要进口的，投标方一般应自行、自费办理；必要时，买卖双方共同办理。</w:t>
      </w:r>
    </w:p>
    <w:p w14:paraId="4EDC3D6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、除招标文件、投标文件、答疑文件、技术协议、合同等约定之外，投标方应免费负责必要的或强制性的货物的检验、试验、化验等直接费用。</w:t>
      </w:r>
    </w:p>
    <w:p w14:paraId="34A0BA8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、本章节条款所列“免费”，并非指定不可收费，而是指招标文件、投标文件、答疑文件、技术交流文件、技术协议书和合同等范围之外，投标方不可另行收取的费用。</w:t>
      </w:r>
    </w:p>
    <w:p w14:paraId="5CB50DB0">
      <w:pPr>
        <w:rPr>
          <w:rFonts w:hint="eastAsia" w:ascii="黑体" w:hAnsi="等线" w:eastAsia="黑体" w:cs="Times New Roman"/>
          <w:szCs w:val="24"/>
          <w:highlight w:val="none"/>
        </w:rPr>
      </w:pPr>
      <w:r>
        <w:rPr>
          <w:rFonts w:ascii="黑体" w:hAnsi="等线" w:eastAsia="黑体" w:cs="Times New Roman"/>
          <w:szCs w:val="24"/>
          <w:highlight w:val="none"/>
        </w:rPr>
        <w:br w:type="page"/>
      </w:r>
    </w:p>
    <w:p w14:paraId="272CD536">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49" w:name="_Toc5083"/>
      <w:bookmarkStart w:id="50" w:name="_Toc4160"/>
      <w:r>
        <w:rPr>
          <w:rFonts w:hint="eastAsia" w:ascii="黑体" w:hAnsi="等线" w:eastAsia="黑体" w:cs="Times New Roman"/>
          <w:kern w:val="44"/>
          <w:sz w:val="28"/>
          <w:szCs w:val="28"/>
          <w:highlight w:val="none"/>
          <w:lang w:val="en-GB"/>
        </w:rPr>
        <w:t>第五章  验收</w:t>
      </w:r>
      <w:bookmarkEnd w:id="49"/>
      <w:bookmarkEnd w:id="50"/>
    </w:p>
    <w:p w14:paraId="60FA7F1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一、验收依据和验收标准</w:t>
      </w:r>
    </w:p>
    <w:p w14:paraId="3F4368D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、验收标准一般以技术协议书和合同规定验收。无论技术协议书和合同，是否全部并准确列明验收所涉及的相关标准，均作为验收标准之一。</w:t>
      </w:r>
    </w:p>
    <w:p w14:paraId="7EFD870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、如果验收过程中，发现招标文件、投标文件、答疑文件、技术交流文件等与技术协议书、合同存在差异，原则上以涉及条款中对招标方最有利条款为验收依据。</w:t>
      </w:r>
    </w:p>
    <w:p w14:paraId="695EC36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二、检验</w:t>
      </w:r>
    </w:p>
    <w:p w14:paraId="275876A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2DA4595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、国产货物的检验一般由买卖双方共同进行或按照合同要求进行。</w:t>
      </w:r>
    </w:p>
    <w:p w14:paraId="3842B72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、进口货物的检验，投标方需要按照下述要求进行：</w:t>
      </w:r>
    </w:p>
    <w:p w14:paraId="30F9C68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2.1</w:t>
      </w:r>
      <w:r>
        <w:rPr>
          <w:rFonts w:hint="eastAsia" w:ascii="宋体" w:hAnsi="宋体" w:eastAsia="宋体" w:cs="宋体"/>
          <w:sz w:val="24"/>
          <w:szCs w:val="24"/>
          <w:highlight w:val="none"/>
        </w:rPr>
        <w:t>进口货物发货前，应对货物的质量、型号、规格、性能和数量</w:t>
      </w:r>
      <w:r>
        <w:rPr>
          <w:rFonts w:ascii="宋体" w:hAnsi="宋体" w:eastAsia="宋体" w:cs="宋体"/>
          <w:sz w:val="24"/>
          <w:szCs w:val="24"/>
          <w:highlight w:val="none"/>
        </w:rPr>
        <w:t>/</w:t>
      </w:r>
      <w:r>
        <w:rPr>
          <w:rFonts w:hint="eastAsia" w:ascii="宋体" w:hAnsi="宋体" w:eastAsia="宋体" w:cs="宋体"/>
          <w:sz w:val="24"/>
          <w:szCs w:val="24"/>
          <w:highlight w:val="none"/>
        </w:rPr>
        <w:t>重量作精密、全面的检验，并出具证明书，证明所供货物符合合同规定。</w:t>
      </w:r>
    </w:p>
    <w:p w14:paraId="132FE1F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2.2</w:t>
      </w:r>
      <w:r>
        <w:rPr>
          <w:rFonts w:hint="eastAsia" w:ascii="宋体" w:hAnsi="宋体" w:eastAsia="宋体" w:cs="宋体"/>
          <w:sz w:val="24"/>
          <w:szCs w:val="24"/>
          <w:highlight w:val="none"/>
        </w:rPr>
        <w:t>应依据合同规定的要求，提供买卖双方达成一致的货物的验收标准和装箱单，作为招标方检验的依据。</w:t>
      </w:r>
    </w:p>
    <w:p w14:paraId="00C0154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2.3</w:t>
      </w:r>
      <w:r>
        <w:rPr>
          <w:rFonts w:hint="eastAsia" w:ascii="宋体" w:hAnsi="宋体" w:eastAsia="宋体" w:cs="宋体"/>
          <w:sz w:val="24"/>
          <w:szCs w:val="24"/>
          <w:highlight w:val="none"/>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highlight w:val="none"/>
        </w:rPr>
        <w:t>180</w:t>
      </w:r>
      <w:r>
        <w:rPr>
          <w:rFonts w:hint="eastAsia" w:ascii="宋体" w:hAnsi="宋体" w:eastAsia="宋体" w:cs="宋体"/>
          <w:sz w:val="24"/>
          <w:szCs w:val="24"/>
          <w:highlight w:val="none"/>
        </w:rPr>
        <w:t>个日历日内，根据中国商品检验检疫局出具的证明书向投标方提出索赔，因索赔所发生的一切费用</w:t>
      </w:r>
      <w:r>
        <w:rPr>
          <w:rFonts w:ascii="宋体" w:hAnsi="宋体" w:eastAsia="宋体" w:cs="宋体"/>
          <w:sz w:val="24"/>
          <w:szCs w:val="24"/>
          <w:highlight w:val="none"/>
        </w:rPr>
        <w:t>(</w:t>
      </w:r>
      <w:r>
        <w:rPr>
          <w:rFonts w:hint="eastAsia" w:ascii="宋体" w:hAnsi="宋体" w:eastAsia="宋体" w:cs="宋体"/>
          <w:sz w:val="24"/>
          <w:szCs w:val="24"/>
          <w:highlight w:val="none"/>
        </w:rPr>
        <w:t>包括检验检疫费等</w:t>
      </w:r>
      <w:r>
        <w:rPr>
          <w:rFonts w:ascii="宋体" w:hAnsi="宋体" w:eastAsia="宋体" w:cs="宋体"/>
          <w:sz w:val="24"/>
          <w:szCs w:val="24"/>
          <w:highlight w:val="none"/>
        </w:rPr>
        <w:t>)</w:t>
      </w:r>
      <w:r>
        <w:rPr>
          <w:rFonts w:hint="eastAsia" w:ascii="宋体" w:hAnsi="宋体" w:eastAsia="宋体" w:cs="宋体"/>
          <w:sz w:val="24"/>
          <w:szCs w:val="24"/>
          <w:highlight w:val="none"/>
        </w:rPr>
        <w:t>均由投标方承担。</w:t>
      </w:r>
    </w:p>
    <w:p w14:paraId="63AF2D4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三、验收条件</w:t>
      </w:r>
    </w:p>
    <w:p w14:paraId="4620795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验收一般分预验收和终验收两部分。终验收在安装调试完成及试运行后的买方现场进行。但是所有的项目，包括不能预验收的项目和预验收通过的项目都在终验收时重新检验，最终只以终验收为准。</w:t>
      </w:r>
    </w:p>
    <w:p w14:paraId="27FC2DA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买卖双方按照合同约定执行了合同，同时货物完成了试运行并经检验合格，则具备验收条件。</w:t>
      </w:r>
    </w:p>
    <w:p w14:paraId="06DD57B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1.预验收</w:t>
      </w:r>
    </w:p>
    <w:p w14:paraId="3AC3C7C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1.1预验收一般条件</w:t>
      </w:r>
    </w:p>
    <w:p w14:paraId="4AD697E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1.1.1卖方已经按照“供货范围”要求提供了预验收资料，并且资料齐全、完整和有效。</w:t>
      </w:r>
    </w:p>
    <w:p w14:paraId="548460C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1.1.2货物应完整，外观完整无损伤，货物标牌完整、清晰、明确。</w:t>
      </w:r>
    </w:p>
    <w:p w14:paraId="766C55E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1.1.3货物的安全要求符合中国最新的相关法律、法规、标准和规范以及合同要求。 </w:t>
      </w:r>
    </w:p>
    <w:p w14:paraId="7FE74F3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1.2 预验收内容 </w:t>
      </w:r>
    </w:p>
    <w:p w14:paraId="0DACDB7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1.2.1加工件外观无缺陷、无裂痕，材质无缺陷，坚固实用。</w:t>
      </w:r>
    </w:p>
    <w:p w14:paraId="2D503B3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1.2.2加工件表面无锋利边缘，焊缝无焊接缺陷。</w:t>
      </w:r>
    </w:p>
    <w:p w14:paraId="45F1D52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1.2.3卖方按标书及合同技术协议的货物清单对货物进行清点，按标书及技术协议中的技术指标如设备功能、测量参数、控制参数、精度等对设备及其附件进行检验，达到协议要求且双方签字确认后，预验收完成。</w:t>
      </w:r>
    </w:p>
    <w:p w14:paraId="7824B62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1.2.4</w:t>
      </w:r>
      <w:r>
        <w:rPr>
          <w:rFonts w:hint="eastAsia" w:ascii="宋体" w:hAnsi="宋体" w:eastAsia="宋体" w:cs="宋体"/>
          <w:sz w:val="24"/>
          <w:szCs w:val="24"/>
          <w:highlight w:val="none"/>
          <w:lang w:val="en-US" w:eastAsia="zh-CN"/>
        </w:rPr>
        <w:t>若</w:t>
      </w:r>
      <w:r>
        <w:rPr>
          <w:rFonts w:hint="eastAsia" w:ascii="宋体" w:hAnsi="宋体" w:eastAsia="宋体" w:cs="宋体"/>
          <w:sz w:val="24"/>
          <w:szCs w:val="24"/>
          <w:highlight w:val="none"/>
        </w:rPr>
        <w:t>生产过程中及生产完成后到材料生产地点进行预验收，招投标双方按照合同约定执行了合同并经检验合格，则具备验收条件。</w:t>
      </w:r>
    </w:p>
    <w:p w14:paraId="5868E3E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1.2.5双方参加，检查结构件、货架、托盘加工及处理情况。经招标方确认合格后方可包装、发运。</w:t>
      </w:r>
    </w:p>
    <w:p w14:paraId="26802BF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1.2.6预验收过程中，由于投标方设计或制造等原因而出现的质量问题，招标方有权提出并请投标方返修，然后再次检查直至合格。</w:t>
      </w:r>
    </w:p>
    <w:p w14:paraId="4329ECC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1.2.7预验收合格后，预验收合格的记录不能替代最终验收报告。</w:t>
      </w:r>
    </w:p>
    <w:p w14:paraId="2CE0EE4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2.终验收</w:t>
      </w:r>
    </w:p>
    <w:p w14:paraId="7F4E5F1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2.1终验收一般条件</w:t>
      </w:r>
    </w:p>
    <w:p w14:paraId="265F3F7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w:t>
      </w:r>
      <w:r>
        <w:rPr>
          <w:rFonts w:hint="eastAsia" w:ascii="宋体" w:hAnsi="宋体" w:eastAsia="宋体" w:cs="宋体"/>
          <w:sz w:val="24"/>
          <w:szCs w:val="24"/>
          <w:highlight w:val="none"/>
        </w:rPr>
        <w:t>投标方已经按照“供货范围”要求提供了预验收资料，并且资料齐全、完整和有效。</w:t>
      </w:r>
    </w:p>
    <w:p w14:paraId="458EB69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1.2</w:t>
      </w:r>
      <w:r>
        <w:rPr>
          <w:rFonts w:hint="eastAsia" w:ascii="宋体" w:hAnsi="宋体" w:eastAsia="宋体" w:cs="宋体"/>
          <w:sz w:val="24"/>
          <w:szCs w:val="24"/>
          <w:highlight w:val="none"/>
        </w:rPr>
        <w:t>货物安装调试完毕，并至少经过了验收要求的负荷试运行；投标方提出验收要求后，在连续1个月的生产周期内，设备故障率(因设备故障造成停线时间/总运行时间)在5%以下。</w:t>
      </w:r>
    </w:p>
    <w:p w14:paraId="4698C82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1.3</w:t>
      </w:r>
      <w:r>
        <w:rPr>
          <w:rFonts w:hint="eastAsia" w:ascii="宋体" w:hAnsi="宋体" w:eastAsia="宋体" w:cs="宋体"/>
          <w:sz w:val="24"/>
          <w:szCs w:val="24"/>
          <w:highlight w:val="none"/>
        </w:rPr>
        <w:t>货物应完整且所有的零部件应该安装牢固，外观无损伤，所有的焊缝饱满、无残渣等缺陷。</w:t>
      </w:r>
    </w:p>
    <w:p w14:paraId="2CEF1CD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1.4</w:t>
      </w:r>
      <w:r>
        <w:rPr>
          <w:rFonts w:hint="eastAsia" w:ascii="宋体" w:hAnsi="宋体" w:eastAsia="宋体" w:cs="宋体"/>
          <w:sz w:val="24"/>
          <w:szCs w:val="24"/>
          <w:highlight w:val="none"/>
        </w:rPr>
        <w:t>一般情况下，所有的管路和线缆等，接头应完全正确、可靠地联接；应排列有序（正确、牢固、整齐），有必要的防护，无皱褶、收缩和裂缝等不良现象。</w:t>
      </w:r>
    </w:p>
    <w:p w14:paraId="014E4D1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1.5</w:t>
      </w:r>
      <w:r>
        <w:rPr>
          <w:rFonts w:hint="eastAsia" w:ascii="宋体" w:hAnsi="宋体" w:eastAsia="宋体" w:cs="宋体"/>
          <w:sz w:val="24"/>
          <w:szCs w:val="24"/>
          <w:highlight w:val="none"/>
        </w:rPr>
        <w:t>货物的润滑系统工作正常、可靠，润滑点易于到达。</w:t>
      </w:r>
    </w:p>
    <w:p w14:paraId="2050B71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1.6</w:t>
      </w:r>
      <w:r>
        <w:rPr>
          <w:rFonts w:hint="eastAsia" w:ascii="宋体" w:hAnsi="宋体" w:eastAsia="宋体" w:cs="宋体"/>
          <w:sz w:val="24"/>
          <w:szCs w:val="24"/>
          <w:highlight w:val="none"/>
        </w:rPr>
        <w:t>使用的压力容器、电气等应具备合格证（如果有压力容器）。</w:t>
      </w:r>
    </w:p>
    <w:p w14:paraId="68E5CD1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1.7</w:t>
      </w:r>
      <w:r>
        <w:rPr>
          <w:rFonts w:hint="eastAsia" w:ascii="宋体" w:hAnsi="宋体" w:eastAsia="宋体" w:cs="宋体"/>
          <w:sz w:val="24"/>
          <w:szCs w:val="24"/>
          <w:highlight w:val="none"/>
        </w:rPr>
        <w:t>货物的油漆质量应饱满、有光泽，无掉漆、无色差、无“桔皮”等不良现象（特殊标志除外）。</w:t>
      </w:r>
    </w:p>
    <w:p w14:paraId="6A6A6DE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1.8</w:t>
      </w:r>
      <w:r>
        <w:rPr>
          <w:rFonts w:hint="eastAsia" w:ascii="宋体" w:hAnsi="宋体" w:eastAsia="宋体" w:cs="宋体"/>
          <w:sz w:val="24"/>
          <w:szCs w:val="24"/>
          <w:highlight w:val="none"/>
        </w:rPr>
        <w:t>货物标牌完整、清晰、明确。</w:t>
      </w:r>
    </w:p>
    <w:p w14:paraId="241957F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1.9</w:t>
      </w:r>
      <w:r>
        <w:rPr>
          <w:rFonts w:hint="eastAsia" w:ascii="宋体" w:hAnsi="宋体" w:eastAsia="宋体" w:cs="宋体"/>
          <w:sz w:val="24"/>
          <w:szCs w:val="24"/>
          <w:highlight w:val="none"/>
        </w:rPr>
        <w:t>地线联接和地极符合国际（</w:t>
      </w:r>
      <w:r>
        <w:rPr>
          <w:rFonts w:ascii="宋体" w:hAnsi="宋体" w:eastAsia="宋体" w:cs="宋体"/>
          <w:sz w:val="24"/>
          <w:szCs w:val="24"/>
          <w:highlight w:val="none"/>
        </w:rPr>
        <w:t>ISO/IEC</w:t>
      </w:r>
      <w:r>
        <w:rPr>
          <w:rFonts w:hint="eastAsia" w:ascii="宋体" w:hAnsi="宋体" w:eastAsia="宋体" w:cs="宋体"/>
          <w:sz w:val="24"/>
          <w:szCs w:val="24"/>
          <w:highlight w:val="none"/>
        </w:rPr>
        <w:t>）标准规范。</w:t>
      </w:r>
    </w:p>
    <w:p w14:paraId="6B1EC4E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1.10</w:t>
      </w:r>
      <w:r>
        <w:rPr>
          <w:rFonts w:hint="eastAsia" w:ascii="宋体" w:hAnsi="宋体" w:eastAsia="宋体" w:cs="宋体"/>
          <w:sz w:val="24"/>
          <w:szCs w:val="24"/>
          <w:highlight w:val="none"/>
        </w:rPr>
        <w:t>货物的安全要求符合中国最新的相关法律、法规、标准和规范以及合同要求。</w:t>
      </w:r>
    </w:p>
    <w:p w14:paraId="7BFC4AB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2.1.11中标方提出终验收前1个月，需向招标方提供的技术文件资料：</w:t>
      </w:r>
    </w:p>
    <w:p w14:paraId="60CDE2F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1）所有技术文件资料均为纸质文件3套和电子版文件（含3D和2D）3套（U盘），其中所有电子版文件必须使用国际通用软件以确保能在招标方的计算机中打开并进行编辑和修改。</w:t>
      </w:r>
    </w:p>
    <w:p w14:paraId="361B419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2）所有设备的数量、规格明细及可供制造或采购的图纸、标准；</w:t>
      </w:r>
    </w:p>
    <w:p w14:paraId="280D877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3）标的物的操作、维护和维修手册，以及液压、电气、润滑（气动）原理图；</w:t>
      </w:r>
    </w:p>
    <w:p w14:paraId="5D087E8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4）提供设施消耗电、气的详细资料；</w:t>
      </w:r>
    </w:p>
    <w:p w14:paraId="6F53DE2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5）工装图纸（包括总成图、分总成图、部件图、零件图以及适用的标准等技术文件），投标方专利部分图纸，可提供简图；</w:t>
      </w:r>
    </w:p>
    <w:p w14:paraId="7AD1BAF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6）滑台的总图、装配安装图、部件图、零件图；</w:t>
      </w:r>
    </w:p>
    <w:p w14:paraId="772FB9E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7）外购件明细表及相应的供应商联系地址和使用维修说明书；</w:t>
      </w:r>
    </w:p>
    <w:p w14:paraId="42DDAB5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8）易损件和备件明细表，当投标方认为必要时在提供货物的同时应提供必要数量的易损件和备件；</w:t>
      </w:r>
    </w:p>
    <w:p w14:paraId="1D03712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9）电动葫芦的使用说明书，维修手册；</w:t>
      </w:r>
    </w:p>
    <w:p w14:paraId="625199C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10）控制软件。</w:t>
      </w:r>
    </w:p>
    <w:p w14:paraId="4488F99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2.2终验收标准</w:t>
      </w:r>
    </w:p>
    <w:p w14:paraId="278359C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2.2.1投标方派专家到招标方现场进行安装调试和技术指导。所有设备由投标方负责安装、调试完成后，双方在生产地点进行最终验收。</w:t>
      </w:r>
    </w:p>
    <w:p w14:paraId="4F88C94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2.2.2设备需连续空运转8小时没有任何故障，其中每间隔4小时允许有30分钟的暂停时间用以设备的检查。在空运转中，所有电器、液压系统需符合有关产品标准。超出以上规定时间，则重新开始计算。</w:t>
      </w:r>
    </w:p>
    <w:p w14:paraId="704896B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在连续的生产周期内，设备故障率(因设备故障造成停线时间/总运行时间)在</w:t>
      </w:r>
      <w:r>
        <w:rPr>
          <w:rFonts w:ascii="宋体" w:hAnsi="宋体" w:eastAsia="宋体" w:cs="宋体"/>
          <w:sz w:val="24"/>
          <w:szCs w:val="24"/>
          <w:highlight w:val="none"/>
        </w:rPr>
        <w:t>5</w:t>
      </w:r>
      <w:r>
        <w:rPr>
          <w:rFonts w:hint="eastAsia" w:ascii="宋体" w:hAnsi="宋体" w:eastAsia="宋体" w:cs="宋体"/>
          <w:sz w:val="24"/>
          <w:szCs w:val="24"/>
          <w:highlight w:val="none"/>
        </w:rPr>
        <w:t>%以下。在此期间保证现有线体生产的新车型至少有10辆份的测量数据且测量数据均满足尺寸精度要求。驾驶室总数量累计不得低于</w:t>
      </w:r>
      <w:r>
        <w:rPr>
          <w:rFonts w:ascii="宋体" w:hAnsi="宋体" w:eastAsia="宋体" w:cs="宋体"/>
          <w:sz w:val="24"/>
          <w:szCs w:val="24"/>
          <w:highlight w:val="none"/>
        </w:rPr>
        <w:t>20</w:t>
      </w:r>
      <w:r>
        <w:rPr>
          <w:rFonts w:hint="eastAsia" w:ascii="宋体" w:hAnsi="宋体" w:eastAsia="宋体" w:cs="宋体"/>
          <w:sz w:val="24"/>
          <w:szCs w:val="24"/>
          <w:highlight w:val="none"/>
        </w:rPr>
        <w:t>辆份并经过总装装配验证，装配无问题后视为达到申请验收标准。</w:t>
      </w:r>
    </w:p>
    <w:p w14:paraId="7825C6C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2.2.3最终验收期间若发现合同供货内容有质量问题或发现破损、缺陷和缺少零件，投标方应根据招标方要求免费更换零部件并解决问题，并且记录在终验收的报告中。</w:t>
      </w:r>
    </w:p>
    <w:p w14:paraId="30E5E3E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2.2.4按合同要求验收，若投标方提供的标的内容、技术资料与合同中规定的内容有不符或缺少时，招标方有权要求更换及补偿。</w:t>
      </w:r>
    </w:p>
    <w:p w14:paraId="5952448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2.2.5投标方一旦中标，需向招标方提供的技术文件资料。</w:t>
      </w:r>
    </w:p>
    <w:p w14:paraId="00AECB1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2.2.6装配图、易损件2D零件图（若易损件需要加工型面，需增加提供3D图）、零件明细（内部标注易损件）。</w:t>
      </w:r>
    </w:p>
    <w:p w14:paraId="7CBD59D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2.2.7所有技术文件资料均为电子版文件（含3D和2D）3套（U盘）3套，纸质版文件3份，其中所有电子版文件必须使用国际通用软件以确保能在招标方的计算机中打开并进行编辑和修改。</w:t>
      </w:r>
    </w:p>
    <w:p w14:paraId="67A8167F">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8所配备的传感器等计量仪器、仪表配套合理，采用中国的法定计量单位，计量准确、灵敏可靠，能够实现预期的技术要求。</w:t>
      </w:r>
    </w:p>
    <w:p w14:paraId="3967D085">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9控制系统运行稳定可靠，能够实现前述远程控制、状态监测、故障报警等功能。</w:t>
      </w:r>
    </w:p>
    <w:p w14:paraId="2F1E9F1B">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10试运行期间或之后无维修、调整等行为（特殊情况除外）。</w:t>
      </w:r>
    </w:p>
    <w:p w14:paraId="77FAA6A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11验收原则上要求一次完成。若一次验收不成功，最多允许两次；如果出现第三次验收失败，重新作价或退货。</w:t>
      </w:r>
    </w:p>
    <w:p w14:paraId="3C3B7F8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12验收通过后买卖双方共同签署验收报告，并移交、核对全部供货范围内物品。</w:t>
      </w:r>
    </w:p>
    <w:p w14:paraId="57769B6E">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3.技术培训</w:t>
      </w:r>
    </w:p>
    <w:p w14:paraId="105A9261">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3.1在预验收和终验收期间，投标方应派有经验的专家对招标方相关人员进行理论和实际操作的培训，并提供成套培训资料，所有培训应是免费的。</w:t>
      </w:r>
    </w:p>
    <w:p w14:paraId="2076897D">
      <w:pPr>
        <w:rPr>
          <w:rFonts w:hint="eastAsia" w:ascii="黑体" w:hAnsi="等线" w:eastAsia="黑体" w:cs="Times New Roman"/>
          <w:sz w:val="24"/>
          <w:szCs w:val="24"/>
          <w:highlight w:val="none"/>
        </w:rPr>
      </w:pPr>
      <w:bookmarkStart w:id="51" w:name="_Toc9658384"/>
      <w:r>
        <w:rPr>
          <w:rFonts w:ascii="黑体" w:hAnsi="等线" w:eastAsia="黑体" w:cs="Times New Roman"/>
          <w:sz w:val="24"/>
          <w:szCs w:val="24"/>
          <w:highlight w:val="none"/>
        </w:rPr>
        <w:br w:type="page"/>
      </w:r>
    </w:p>
    <w:p w14:paraId="5567B477">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52" w:name="_Toc10390"/>
      <w:bookmarkStart w:id="53" w:name="_Toc4480"/>
      <w:r>
        <w:rPr>
          <w:rFonts w:hint="eastAsia" w:ascii="黑体" w:hAnsi="等线" w:eastAsia="黑体" w:cs="Times New Roman"/>
          <w:kern w:val="44"/>
          <w:sz w:val="28"/>
          <w:szCs w:val="28"/>
          <w:highlight w:val="none"/>
          <w:lang w:val="en-GB"/>
        </w:rPr>
        <w:t>第六章  投标技术文件一般要求</w:t>
      </w:r>
      <w:bookmarkEnd w:id="51"/>
      <w:bookmarkEnd w:id="52"/>
      <w:bookmarkEnd w:id="53"/>
    </w:p>
    <w:p w14:paraId="5813079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一、技术文件一般内容要求</w:t>
      </w:r>
    </w:p>
    <w:p w14:paraId="6D02FA0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、投标方应认真阅读招标文件和本技术标书，并按要求编写投标技术文件。</w:t>
      </w:r>
    </w:p>
    <w:p w14:paraId="7FAA6BF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、投标技术文件至少应对投标货物的功能用途、技术性能、质量标准、技术参数等作出详细说明。</w:t>
      </w:r>
    </w:p>
    <w:p w14:paraId="42800AF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、投标技术文件至少应根据投标货物的关键设备、总成、零部件或系统作出满足或优于招标文件要求的详细说明。</w:t>
      </w:r>
    </w:p>
    <w:p w14:paraId="6A38AE4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、投标技术文件至少应按照招标文件要求（或投标方建议）列明备品备件、易损件和专用耗材明细。</w:t>
      </w:r>
    </w:p>
    <w:p w14:paraId="324835B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、投标方应当而且必须分别说明所列备品备件、易损件和专用耗材的使用寿命（以有效工作小时数说明）。</w:t>
      </w:r>
    </w:p>
    <w:p w14:paraId="58388B4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、投标的货物，应当根据其配置和备品备件、易损件、专用耗材情况，尽可能详细且分类填入下表：</w:t>
      </w:r>
    </w:p>
    <w:p w14:paraId="0C8BAB1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6.1  </w:t>
      </w:r>
      <w:r>
        <w:rPr>
          <w:rFonts w:hint="eastAsia" w:ascii="宋体" w:hAnsi="宋体" w:eastAsia="宋体" w:cs="宋体"/>
          <w:sz w:val="24"/>
          <w:szCs w:val="24"/>
          <w:highlight w:val="none"/>
        </w:rPr>
        <w:t>投标货物配置一览表：</w:t>
      </w:r>
    </w:p>
    <w:p w14:paraId="27B1CE49">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投标货物配置一览表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6542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2BAA345">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7D9778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2BD0036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48B358C8">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6F4AAB77">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5B05613B">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5C462FE4">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1ACA3439">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03EE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F78AA7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2722F739">
            <w:pPr>
              <w:adjustRightInd w:val="0"/>
              <w:snapToGrid w:val="0"/>
              <w:spacing w:line="360" w:lineRule="auto"/>
              <w:rPr>
                <w:rFonts w:hint="eastAsia" w:ascii="宋体" w:hAnsi="宋体" w:eastAsia="宋体" w:cs="宋体"/>
                <w:sz w:val="24"/>
                <w:szCs w:val="24"/>
                <w:highlight w:val="none"/>
              </w:rPr>
            </w:pPr>
          </w:p>
        </w:tc>
        <w:tc>
          <w:tcPr>
            <w:tcW w:w="1236" w:type="dxa"/>
          </w:tcPr>
          <w:p w14:paraId="4E1D8375">
            <w:pPr>
              <w:adjustRightInd w:val="0"/>
              <w:snapToGrid w:val="0"/>
              <w:spacing w:line="360" w:lineRule="auto"/>
              <w:rPr>
                <w:rFonts w:hint="eastAsia" w:ascii="宋体" w:hAnsi="宋体" w:eastAsia="宋体" w:cs="宋体"/>
                <w:sz w:val="24"/>
                <w:szCs w:val="24"/>
                <w:highlight w:val="none"/>
              </w:rPr>
            </w:pPr>
          </w:p>
        </w:tc>
        <w:tc>
          <w:tcPr>
            <w:tcW w:w="720" w:type="dxa"/>
          </w:tcPr>
          <w:p w14:paraId="7D74D1B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25DDAE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137C384">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B979853">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33B0D64">
            <w:pPr>
              <w:adjustRightInd w:val="0"/>
              <w:snapToGrid w:val="0"/>
              <w:spacing w:line="360" w:lineRule="auto"/>
              <w:rPr>
                <w:rFonts w:hint="eastAsia" w:ascii="宋体" w:hAnsi="宋体" w:eastAsia="宋体" w:cs="宋体"/>
                <w:sz w:val="24"/>
                <w:szCs w:val="24"/>
                <w:highlight w:val="none"/>
              </w:rPr>
            </w:pPr>
          </w:p>
        </w:tc>
      </w:tr>
      <w:tr w14:paraId="6889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A27CA05">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22B61B2">
            <w:pPr>
              <w:adjustRightInd w:val="0"/>
              <w:snapToGrid w:val="0"/>
              <w:spacing w:line="360" w:lineRule="auto"/>
              <w:rPr>
                <w:rFonts w:hint="eastAsia" w:ascii="宋体" w:hAnsi="宋体" w:eastAsia="宋体" w:cs="宋体"/>
                <w:sz w:val="24"/>
                <w:szCs w:val="24"/>
                <w:highlight w:val="none"/>
              </w:rPr>
            </w:pPr>
          </w:p>
        </w:tc>
        <w:tc>
          <w:tcPr>
            <w:tcW w:w="1236" w:type="dxa"/>
          </w:tcPr>
          <w:p w14:paraId="4AD9DC5F">
            <w:pPr>
              <w:adjustRightInd w:val="0"/>
              <w:snapToGrid w:val="0"/>
              <w:spacing w:line="360" w:lineRule="auto"/>
              <w:rPr>
                <w:rFonts w:hint="eastAsia" w:ascii="宋体" w:hAnsi="宋体" w:eastAsia="宋体" w:cs="宋体"/>
                <w:sz w:val="24"/>
                <w:szCs w:val="24"/>
                <w:highlight w:val="none"/>
              </w:rPr>
            </w:pPr>
          </w:p>
        </w:tc>
        <w:tc>
          <w:tcPr>
            <w:tcW w:w="720" w:type="dxa"/>
          </w:tcPr>
          <w:p w14:paraId="192A5D1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52E9E6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136C72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258CB2A">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4099AC4A">
            <w:pPr>
              <w:adjustRightInd w:val="0"/>
              <w:snapToGrid w:val="0"/>
              <w:spacing w:line="360" w:lineRule="auto"/>
              <w:rPr>
                <w:rFonts w:hint="eastAsia" w:ascii="宋体" w:hAnsi="宋体" w:eastAsia="宋体" w:cs="宋体"/>
                <w:sz w:val="24"/>
                <w:szCs w:val="24"/>
                <w:highlight w:val="none"/>
              </w:rPr>
            </w:pPr>
          </w:p>
        </w:tc>
      </w:tr>
      <w:tr w14:paraId="0CB8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A020B7">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66B4F101">
            <w:pPr>
              <w:adjustRightInd w:val="0"/>
              <w:snapToGrid w:val="0"/>
              <w:spacing w:line="360" w:lineRule="auto"/>
              <w:rPr>
                <w:rFonts w:hint="eastAsia" w:ascii="宋体" w:hAnsi="宋体" w:eastAsia="宋体" w:cs="宋体"/>
                <w:sz w:val="24"/>
                <w:szCs w:val="24"/>
                <w:highlight w:val="none"/>
              </w:rPr>
            </w:pPr>
          </w:p>
        </w:tc>
        <w:tc>
          <w:tcPr>
            <w:tcW w:w="1236" w:type="dxa"/>
          </w:tcPr>
          <w:p w14:paraId="473FA080">
            <w:pPr>
              <w:adjustRightInd w:val="0"/>
              <w:snapToGrid w:val="0"/>
              <w:spacing w:line="360" w:lineRule="auto"/>
              <w:rPr>
                <w:rFonts w:hint="eastAsia" w:ascii="宋体" w:hAnsi="宋体" w:eastAsia="宋体" w:cs="宋体"/>
                <w:sz w:val="24"/>
                <w:szCs w:val="24"/>
                <w:highlight w:val="none"/>
              </w:rPr>
            </w:pPr>
          </w:p>
        </w:tc>
        <w:tc>
          <w:tcPr>
            <w:tcW w:w="720" w:type="dxa"/>
          </w:tcPr>
          <w:p w14:paraId="1C9F9C52">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690691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DD263D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2440251">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6C1B421">
            <w:pPr>
              <w:adjustRightInd w:val="0"/>
              <w:snapToGrid w:val="0"/>
              <w:spacing w:line="360" w:lineRule="auto"/>
              <w:rPr>
                <w:rFonts w:hint="eastAsia" w:ascii="宋体" w:hAnsi="宋体" w:eastAsia="宋体" w:cs="宋体"/>
                <w:sz w:val="24"/>
                <w:szCs w:val="24"/>
                <w:highlight w:val="none"/>
              </w:rPr>
            </w:pPr>
          </w:p>
        </w:tc>
      </w:tr>
      <w:tr w14:paraId="2E7E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4330B3">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6C96569">
            <w:pPr>
              <w:adjustRightInd w:val="0"/>
              <w:snapToGrid w:val="0"/>
              <w:spacing w:line="360" w:lineRule="auto"/>
              <w:rPr>
                <w:rFonts w:hint="eastAsia" w:ascii="宋体" w:hAnsi="宋体" w:eastAsia="宋体" w:cs="宋体"/>
                <w:sz w:val="24"/>
                <w:szCs w:val="24"/>
                <w:highlight w:val="none"/>
              </w:rPr>
            </w:pPr>
          </w:p>
        </w:tc>
        <w:tc>
          <w:tcPr>
            <w:tcW w:w="1236" w:type="dxa"/>
          </w:tcPr>
          <w:p w14:paraId="6E32B4BF">
            <w:pPr>
              <w:adjustRightInd w:val="0"/>
              <w:snapToGrid w:val="0"/>
              <w:spacing w:line="360" w:lineRule="auto"/>
              <w:rPr>
                <w:rFonts w:hint="eastAsia" w:ascii="宋体" w:hAnsi="宋体" w:eastAsia="宋体" w:cs="宋体"/>
                <w:sz w:val="24"/>
                <w:szCs w:val="24"/>
                <w:highlight w:val="none"/>
              </w:rPr>
            </w:pPr>
          </w:p>
        </w:tc>
        <w:tc>
          <w:tcPr>
            <w:tcW w:w="720" w:type="dxa"/>
          </w:tcPr>
          <w:p w14:paraId="1CEF1CD7">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31E179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298C60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96E8FA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2ED2071">
            <w:pPr>
              <w:adjustRightInd w:val="0"/>
              <w:snapToGrid w:val="0"/>
              <w:spacing w:line="360" w:lineRule="auto"/>
              <w:rPr>
                <w:rFonts w:hint="eastAsia" w:ascii="宋体" w:hAnsi="宋体" w:eastAsia="宋体" w:cs="宋体"/>
                <w:sz w:val="24"/>
                <w:szCs w:val="24"/>
                <w:highlight w:val="none"/>
              </w:rPr>
            </w:pPr>
          </w:p>
        </w:tc>
      </w:tr>
    </w:tbl>
    <w:p w14:paraId="233DF8E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6.2  </w:t>
      </w:r>
      <w:r>
        <w:rPr>
          <w:rFonts w:hint="eastAsia" w:ascii="宋体" w:hAnsi="宋体" w:eastAsia="宋体" w:cs="宋体"/>
          <w:sz w:val="24"/>
          <w:szCs w:val="24"/>
          <w:highlight w:val="none"/>
        </w:rPr>
        <w:t>备品备件、易损件和专用耗材明细表：</w:t>
      </w:r>
    </w:p>
    <w:p w14:paraId="4BB206DF">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备品备件、易损件和专用耗材明细表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8"/>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35F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295FF2C">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E2CDD6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65B3663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36D53A67">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63A03444">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463FE678">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4C9304EB">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6ECB2015">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1976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DABF356">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3C558C9C">
            <w:pPr>
              <w:adjustRightInd w:val="0"/>
              <w:snapToGrid w:val="0"/>
              <w:spacing w:line="360" w:lineRule="auto"/>
              <w:rPr>
                <w:rFonts w:hint="eastAsia" w:ascii="宋体" w:hAnsi="宋体" w:eastAsia="宋体" w:cs="宋体"/>
                <w:sz w:val="24"/>
                <w:szCs w:val="24"/>
                <w:highlight w:val="none"/>
              </w:rPr>
            </w:pPr>
          </w:p>
        </w:tc>
        <w:tc>
          <w:tcPr>
            <w:tcW w:w="1236" w:type="dxa"/>
          </w:tcPr>
          <w:p w14:paraId="3EFA30A9">
            <w:pPr>
              <w:adjustRightInd w:val="0"/>
              <w:snapToGrid w:val="0"/>
              <w:spacing w:line="360" w:lineRule="auto"/>
              <w:rPr>
                <w:rFonts w:hint="eastAsia" w:ascii="宋体" w:hAnsi="宋体" w:eastAsia="宋体" w:cs="宋体"/>
                <w:sz w:val="24"/>
                <w:szCs w:val="24"/>
                <w:highlight w:val="none"/>
              </w:rPr>
            </w:pPr>
          </w:p>
        </w:tc>
        <w:tc>
          <w:tcPr>
            <w:tcW w:w="720" w:type="dxa"/>
          </w:tcPr>
          <w:p w14:paraId="5DB5470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33062C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B16770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748207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FA96C1F">
            <w:pPr>
              <w:adjustRightInd w:val="0"/>
              <w:snapToGrid w:val="0"/>
              <w:spacing w:line="360" w:lineRule="auto"/>
              <w:rPr>
                <w:rFonts w:hint="eastAsia" w:ascii="宋体" w:hAnsi="宋体" w:eastAsia="宋体" w:cs="宋体"/>
                <w:sz w:val="24"/>
                <w:szCs w:val="24"/>
                <w:highlight w:val="none"/>
              </w:rPr>
            </w:pPr>
          </w:p>
        </w:tc>
      </w:tr>
      <w:tr w14:paraId="1847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CF262B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420C2BC1">
            <w:pPr>
              <w:adjustRightInd w:val="0"/>
              <w:snapToGrid w:val="0"/>
              <w:spacing w:line="360" w:lineRule="auto"/>
              <w:rPr>
                <w:rFonts w:hint="eastAsia" w:ascii="宋体" w:hAnsi="宋体" w:eastAsia="宋体" w:cs="宋体"/>
                <w:sz w:val="24"/>
                <w:szCs w:val="24"/>
                <w:highlight w:val="none"/>
              </w:rPr>
            </w:pPr>
          </w:p>
        </w:tc>
        <w:tc>
          <w:tcPr>
            <w:tcW w:w="1236" w:type="dxa"/>
          </w:tcPr>
          <w:p w14:paraId="6F90EA6E">
            <w:pPr>
              <w:adjustRightInd w:val="0"/>
              <w:snapToGrid w:val="0"/>
              <w:spacing w:line="360" w:lineRule="auto"/>
              <w:rPr>
                <w:rFonts w:hint="eastAsia" w:ascii="宋体" w:hAnsi="宋体" w:eastAsia="宋体" w:cs="宋体"/>
                <w:sz w:val="24"/>
                <w:szCs w:val="24"/>
                <w:highlight w:val="none"/>
              </w:rPr>
            </w:pPr>
          </w:p>
        </w:tc>
        <w:tc>
          <w:tcPr>
            <w:tcW w:w="720" w:type="dxa"/>
          </w:tcPr>
          <w:p w14:paraId="6638EA0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735A56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B31324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4A71FBB">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14BCFD29">
            <w:pPr>
              <w:adjustRightInd w:val="0"/>
              <w:snapToGrid w:val="0"/>
              <w:spacing w:line="360" w:lineRule="auto"/>
              <w:rPr>
                <w:rFonts w:hint="eastAsia" w:ascii="宋体" w:hAnsi="宋体" w:eastAsia="宋体" w:cs="宋体"/>
                <w:sz w:val="24"/>
                <w:szCs w:val="24"/>
                <w:highlight w:val="none"/>
              </w:rPr>
            </w:pPr>
          </w:p>
        </w:tc>
      </w:tr>
      <w:tr w14:paraId="64E7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32258F">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0541A55">
            <w:pPr>
              <w:adjustRightInd w:val="0"/>
              <w:snapToGrid w:val="0"/>
              <w:spacing w:line="360" w:lineRule="auto"/>
              <w:rPr>
                <w:rFonts w:hint="eastAsia" w:ascii="宋体" w:hAnsi="宋体" w:eastAsia="宋体" w:cs="宋体"/>
                <w:sz w:val="24"/>
                <w:szCs w:val="24"/>
                <w:highlight w:val="none"/>
              </w:rPr>
            </w:pPr>
          </w:p>
        </w:tc>
        <w:tc>
          <w:tcPr>
            <w:tcW w:w="1236" w:type="dxa"/>
          </w:tcPr>
          <w:p w14:paraId="3D7F9E80">
            <w:pPr>
              <w:adjustRightInd w:val="0"/>
              <w:snapToGrid w:val="0"/>
              <w:spacing w:line="360" w:lineRule="auto"/>
              <w:rPr>
                <w:rFonts w:hint="eastAsia" w:ascii="宋体" w:hAnsi="宋体" w:eastAsia="宋体" w:cs="宋体"/>
                <w:sz w:val="24"/>
                <w:szCs w:val="24"/>
                <w:highlight w:val="none"/>
              </w:rPr>
            </w:pPr>
          </w:p>
        </w:tc>
        <w:tc>
          <w:tcPr>
            <w:tcW w:w="720" w:type="dxa"/>
          </w:tcPr>
          <w:p w14:paraId="47D3D1A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B153C3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53E64E1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EC130CA">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6F0B0BC">
            <w:pPr>
              <w:adjustRightInd w:val="0"/>
              <w:snapToGrid w:val="0"/>
              <w:spacing w:line="360" w:lineRule="auto"/>
              <w:rPr>
                <w:rFonts w:hint="eastAsia" w:ascii="宋体" w:hAnsi="宋体" w:eastAsia="宋体" w:cs="宋体"/>
                <w:sz w:val="24"/>
                <w:szCs w:val="24"/>
                <w:highlight w:val="none"/>
              </w:rPr>
            </w:pPr>
          </w:p>
        </w:tc>
      </w:tr>
      <w:tr w14:paraId="0C93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3CF4A0">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6FBA0F19">
            <w:pPr>
              <w:adjustRightInd w:val="0"/>
              <w:snapToGrid w:val="0"/>
              <w:spacing w:line="360" w:lineRule="auto"/>
              <w:rPr>
                <w:rFonts w:hint="eastAsia" w:ascii="宋体" w:hAnsi="宋体" w:eastAsia="宋体" w:cs="宋体"/>
                <w:sz w:val="24"/>
                <w:szCs w:val="24"/>
                <w:highlight w:val="none"/>
              </w:rPr>
            </w:pPr>
          </w:p>
        </w:tc>
        <w:tc>
          <w:tcPr>
            <w:tcW w:w="1236" w:type="dxa"/>
          </w:tcPr>
          <w:p w14:paraId="40896F9F">
            <w:pPr>
              <w:adjustRightInd w:val="0"/>
              <w:snapToGrid w:val="0"/>
              <w:spacing w:line="360" w:lineRule="auto"/>
              <w:rPr>
                <w:rFonts w:hint="eastAsia" w:ascii="宋体" w:hAnsi="宋体" w:eastAsia="宋体" w:cs="宋体"/>
                <w:sz w:val="24"/>
                <w:szCs w:val="24"/>
                <w:highlight w:val="none"/>
              </w:rPr>
            </w:pPr>
          </w:p>
        </w:tc>
        <w:tc>
          <w:tcPr>
            <w:tcW w:w="720" w:type="dxa"/>
          </w:tcPr>
          <w:p w14:paraId="4D2433B7">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E8861B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8F7C26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2FA013C">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4DB1491">
            <w:pPr>
              <w:adjustRightInd w:val="0"/>
              <w:snapToGrid w:val="0"/>
              <w:spacing w:line="360" w:lineRule="auto"/>
              <w:rPr>
                <w:rFonts w:hint="eastAsia" w:ascii="宋体" w:hAnsi="宋体" w:eastAsia="宋体" w:cs="宋体"/>
                <w:sz w:val="24"/>
                <w:szCs w:val="24"/>
                <w:highlight w:val="none"/>
              </w:rPr>
            </w:pPr>
          </w:p>
        </w:tc>
      </w:tr>
      <w:tr w14:paraId="6558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1749800">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48DC6F32">
            <w:pPr>
              <w:adjustRightInd w:val="0"/>
              <w:snapToGrid w:val="0"/>
              <w:spacing w:line="360" w:lineRule="auto"/>
              <w:rPr>
                <w:rFonts w:hint="eastAsia" w:ascii="宋体" w:hAnsi="宋体" w:eastAsia="宋体" w:cs="宋体"/>
                <w:sz w:val="24"/>
                <w:szCs w:val="24"/>
                <w:highlight w:val="none"/>
              </w:rPr>
            </w:pPr>
          </w:p>
        </w:tc>
        <w:tc>
          <w:tcPr>
            <w:tcW w:w="1236" w:type="dxa"/>
          </w:tcPr>
          <w:p w14:paraId="75A2F5A2">
            <w:pPr>
              <w:adjustRightInd w:val="0"/>
              <w:snapToGrid w:val="0"/>
              <w:spacing w:line="360" w:lineRule="auto"/>
              <w:rPr>
                <w:rFonts w:hint="eastAsia" w:ascii="宋体" w:hAnsi="宋体" w:eastAsia="宋体" w:cs="宋体"/>
                <w:sz w:val="24"/>
                <w:szCs w:val="24"/>
                <w:highlight w:val="none"/>
              </w:rPr>
            </w:pPr>
          </w:p>
        </w:tc>
        <w:tc>
          <w:tcPr>
            <w:tcW w:w="720" w:type="dxa"/>
          </w:tcPr>
          <w:p w14:paraId="6FD85E7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A2B2511">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3DAF55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81D90D6">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3DE17210">
            <w:pPr>
              <w:adjustRightInd w:val="0"/>
              <w:snapToGrid w:val="0"/>
              <w:spacing w:line="360" w:lineRule="auto"/>
              <w:rPr>
                <w:rFonts w:hint="eastAsia" w:ascii="宋体" w:hAnsi="宋体" w:eastAsia="宋体" w:cs="宋体"/>
                <w:sz w:val="24"/>
                <w:szCs w:val="24"/>
                <w:highlight w:val="none"/>
              </w:rPr>
            </w:pPr>
          </w:p>
        </w:tc>
      </w:tr>
    </w:tbl>
    <w:p w14:paraId="0E0BF91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6.3  </w:t>
      </w:r>
      <w:r>
        <w:rPr>
          <w:rFonts w:hint="eastAsia" w:ascii="宋体" w:hAnsi="宋体" w:eastAsia="宋体" w:cs="宋体"/>
          <w:sz w:val="24"/>
          <w:szCs w:val="24"/>
          <w:highlight w:val="none"/>
        </w:rPr>
        <w:t>“一览表”和“明细表”仅作为投标方编制投标技术文件的一般格式。其中序号编写应当便于招标方了解分类或分项货物之间的所属关系，如</w:t>
      </w:r>
      <w:r>
        <w:rPr>
          <w:rFonts w:ascii="宋体" w:hAnsi="宋体" w:eastAsia="宋体" w:cs="宋体"/>
          <w:sz w:val="24"/>
          <w:szCs w:val="24"/>
          <w:highlight w:val="none"/>
        </w:rPr>
        <w:t>1</w:t>
      </w:r>
      <w:r>
        <w:rPr>
          <w:rFonts w:hint="eastAsia" w:ascii="宋体" w:hAnsi="宋体" w:eastAsia="宋体" w:cs="宋体"/>
          <w:sz w:val="24"/>
          <w:szCs w:val="24"/>
          <w:highlight w:val="none"/>
        </w:rPr>
        <w:t>、</w:t>
      </w:r>
      <w:r>
        <w:rPr>
          <w:rFonts w:ascii="宋体" w:hAnsi="宋体" w:eastAsia="宋体" w:cs="宋体"/>
          <w:sz w:val="24"/>
          <w:szCs w:val="24"/>
          <w:highlight w:val="none"/>
        </w:rPr>
        <w:t>1.1</w:t>
      </w:r>
      <w:r>
        <w:rPr>
          <w:rFonts w:hint="eastAsia" w:ascii="宋体" w:hAnsi="宋体" w:eastAsia="宋体" w:cs="宋体"/>
          <w:sz w:val="24"/>
          <w:szCs w:val="24"/>
          <w:highlight w:val="none"/>
        </w:rPr>
        <w:t>、</w:t>
      </w:r>
      <w:r>
        <w:rPr>
          <w:rFonts w:ascii="宋体" w:hAnsi="宋体" w:eastAsia="宋体" w:cs="宋体"/>
          <w:sz w:val="24"/>
          <w:szCs w:val="24"/>
          <w:highlight w:val="none"/>
        </w:rPr>
        <w:t>1.2</w:t>
      </w:r>
      <w:r>
        <w:rPr>
          <w:rFonts w:hint="eastAsia" w:ascii="宋体" w:hAnsi="宋体" w:eastAsia="宋体" w:cs="宋体"/>
          <w:sz w:val="24"/>
          <w:szCs w:val="24"/>
          <w:highlight w:val="none"/>
        </w:rPr>
        <w:t>。</w:t>
      </w:r>
    </w:p>
    <w:p w14:paraId="7FD105F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6.4  </w:t>
      </w:r>
      <w:r>
        <w:rPr>
          <w:rFonts w:hint="eastAsia" w:ascii="宋体" w:hAnsi="宋体" w:eastAsia="宋体" w:cs="宋体"/>
          <w:sz w:val="24"/>
          <w:szCs w:val="24"/>
          <w:highlight w:val="none"/>
        </w:rPr>
        <w:t>应当尽可能将货物的配置列全、列细，这将有助于投标方胜出。</w:t>
      </w:r>
    </w:p>
    <w:p w14:paraId="5930CAE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6.5  </w:t>
      </w:r>
      <w:r>
        <w:rPr>
          <w:rFonts w:hint="eastAsia" w:ascii="宋体" w:hAnsi="宋体" w:eastAsia="宋体" w:cs="宋体"/>
          <w:sz w:val="24"/>
          <w:szCs w:val="24"/>
          <w:highlight w:val="none"/>
        </w:rPr>
        <w:t>单价与总价之间、总价与分类小计价之间、分类小计价与合计价之间数据应当齐全而且准确。</w:t>
      </w:r>
    </w:p>
    <w:p w14:paraId="4385E1B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6.6  </w:t>
      </w:r>
      <w:r>
        <w:rPr>
          <w:rFonts w:hint="eastAsia" w:ascii="宋体" w:hAnsi="宋体" w:eastAsia="宋体" w:cs="宋体"/>
          <w:sz w:val="24"/>
          <w:szCs w:val="24"/>
          <w:highlight w:val="none"/>
        </w:rPr>
        <w:t>本条款表格中的制造商，应当为全称或公认的简称。</w:t>
      </w:r>
    </w:p>
    <w:p w14:paraId="3F40CE3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二、技术文件中货物报价格式要求</w:t>
      </w:r>
    </w:p>
    <w:p w14:paraId="053C4A9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、货物配置一览表合计价以及备品备件、易损件和专用耗材明细表合计价应当在投标总报价内对应重现而且应当数据准确。</w:t>
      </w:r>
    </w:p>
    <w:p w14:paraId="14DAC2B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其中，质保期之内需要的备品备件、易损件和专用耗材，需要在配置一览表内单独分类列出并计入货物配置一览表合计价。</w:t>
      </w:r>
    </w:p>
    <w:p w14:paraId="7A3B6FD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5DBD20D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、如果投标总报价与其它价格出现错误或不一致，将有可能导致废标。</w:t>
      </w:r>
    </w:p>
    <w:p w14:paraId="58A2496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、投标总报价为自合同签定生效至合同无异议执行完毕涉及的招标方需要支付的全部费用。如投标方认为本招标及投标货物涉及特需或专门的设计，应当单独列明设计费。</w:t>
      </w:r>
    </w:p>
    <w:p w14:paraId="49DF551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、备品备件、易损件和专用耗材，招标方将可能与投标方按照投标价格另行签署供货合同。</w:t>
      </w:r>
    </w:p>
    <w:p w14:paraId="65E5A9D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、要求投标总报价、分项报价、明细报价之间应当具有相互间对应关系以及填报分项和明细报价，仅为便于评标而不妨碍投标人以最合适的形式签署合同。</w:t>
      </w:r>
    </w:p>
    <w:p w14:paraId="399C035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14:paraId="570A197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40BA6F35">
      <w:pPr>
        <w:rPr>
          <w:rFonts w:hint="eastAsia" w:ascii="黑体" w:hAnsi="等线" w:eastAsia="黑体" w:cs="Times New Roman"/>
          <w:sz w:val="24"/>
          <w:szCs w:val="24"/>
          <w:highlight w:val="none"/>
        </w:rPr>
      </w:pPr>
      <w:bookmarkStart w:id="54" w:name="_Toc9658385"/>
      <w:r>
        <w:rPr>
          <w:rFonts w:ascii="黑体" w:hAnsi="等线" w:eastAsia="黑体" w:cs="Times New Roman"/>
          <w:sz w:val="24"/>
          <w:szCs w:val="24"/>
          <w:highlight w:val="none"/>
        </w:rPr>
        <w:br w:type="page"/>
      </w:r>
    </w:p>
    <w:p w14:paraId="14418D42">
      <w:pPr>
        <w:keepNext/>
        <w:keepLines/>
        <w:spacing w:before="120" w:after="120" w:line="360" w:lineRule="auto"/>
        <w:jc w:val="center"/>
        <w:outlineLvl w:val="0"/>
        <w:rPr>
          <w:rFonts w:hint="eastAsia" w:ascii="黑体" w:hAnsi="等线" w:eastAsia="黑体" w:cs="Times New Roman"/>
          <w:kern w:val="44"/>
          <w:sz w:val="28"/>
          <w:szCs w:val="28"/>
          <w:highlight w:val="none"/>
          <w:lang w:val="en-GB"/>
        </w:rPr>
      </w:pPr>
      <w:bookmarkStart w:id="55" w:name="_Toc23858"/>
      <w:bookmarkStart w:id="56" w:name="_Toc5478"/>
      <w:r>
        <w:rPr>
          <w:rFonts w:hint="eastAsia" w:ascii="黑体" w:hAnsi="等线" w:eastAsia="黑体" w:cs="Times New Roman"/>
          <w:kern w:val="44"/>
          <w:sz w:val="28"/>
          <w:szCs w:val="28"/>
          <w:highlight w:val="none"/>
          <w:lang w:val="en-GB"/>
        </w:rPr>
        <w:t>第七章  其它要求及说明</w:t>
      </w:r>
      <w:bookmarkEnd w:id="54"/>
      <w:bookmarkEnd w:id="55"/>
      <w:bookmarkEnd w:id="56"/>
    </w:p>
    <w:p w14:paraId="7377F0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一、要求</w:t>
      </w:r>
    </w:p>
    <w:p w14:paraId="27A2AA4C">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为保证本技术标书所列采购货物的质量以及先进性、可靠性、经济性和实用性，要求投标方在投标文件中，至少应具备以下资格证明文件或资料：</w:t>
      </w:r>
    </w:p>
    <w:p w14:paraId="4086E9A3">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highlight w:val="none"/>
        </w:rPr>
        <w:t>/</w:t>
      </w:r>
      <w:r>
        <w:rPr>
          <w:rFonts w:hint="eastAsia" w:ascii="宋体" w:hAnsi="宋体" w:eastAsia="宋体" w:cs="宋体"/>
          <w:sz w:val="24"/>
          <w:szCs w:val="24"/>
          <w:highlight w:val="none"/>
        </w:rPr>
        <w:t>柴油加热方式）、相关案例的验收检测报告，并保证其真实性和有效性。</w:t>
      </w:r>
    </w:p>
    <w:p w14:paraId="62B3D49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、投标方应当是通过有关资格认证的法人。应当在投标文件中提供有效期内的资格认证证书，如：</w:t>
      </w:r>
      <w:r>
        <w:rPr>
          <w:rFonts w:ascii="宋体" w:hAnsi="宋体" w:eastAsia="宋体" w:cs="宋体"/>
          <w:sz w:val="24"/>
          <w:szCs w:val="24"/>
          <w:highlight w:val="none"/>
        </w:rPr>
        <w:t>ISO9001</w:t>
      </w:r>
      <w:r>
        <w:rPr>
          <w:rFonts w:hint="eastAsia" w:ascii="宋体" w:hAnsi="宋体" w:eastAsia="宋体" w:cs="宋体"/>
          <w:sz w:val="24"/>
          <w:szCs w:val="24"/>
          <w:highlight w:val="none"/>
        </w:rPr>
        <w:t>、</w:t>
      </w:r>
      <w:r>
        <w:rPr>
          <w:rFonts w:ascii="宋体" w:hAnsi="宋体" w:eastAsia="宋体" w:cs="宋体"/>
          <w:sz w:val="24"/>
          <w:szCs w:val="24"/>
          <w:highlight w:val="none"/>
        </w:rPr>
        <w:t>VDA6.1</w:t>
      </w:r>
      <w:r>
        <w:rPr>
          <w:rFonts w:hint="eastAsia" w:ascii="宋体" w:hAnsi="宋体" w:eastAsia="宋体" w:cs="宋体"/>
          <w:sz w:val="24"/>
          <w:szCs w:val="24"/>
          <w:highlight w:val="none"/>
        </w:rPr>
        <w:t>、</w:t>
      </w:r>
      <w:r>
        <w:rPr>
          <w:rFonts w:ascii="宋体" w:hAnsi="宋体" w:eastAsia="宋体" w:cs="宋体"/>
          <w:sz w:val="24"/>
          <w:szCs w:val="24"/>
          <w:highlight w:val="none"/>
        </w:rPr>
        <w:t>QS9000</w:t>
      </w:r>
      <w:r>
        <w:rPr>
          <w:rFonts w:hint="eastAsia" w:ascii="宋体" w:hAnsi="宋体" w:eastAsia="宋体" w:cs="宋体"/>
          <w:sz w:val="24"/>
          <w:szCs w:val="24"/>
          <w:highlight w:val="none"/>
        </w:rPr>
        <w:t>等。</w:t>
      </w:r>
    </w:p>
    <w:p w14:paraId="2EEF6BB5">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、国产设备应附有采购货物（或设备）涉及的由“中国质量认证中心”颁发的《中国国家强制性产品认证证书》（</w:t>
      </w:r>
      <w:r>
        <w:rPr>
          <w:rFonts w:ascii="宋体" w:hAnsi="宋体" w:eastAsia="宋体" w:cs="宋体"/>
          <w:sz w:val="24"/>
          <w:szCs w:val="24"/>
          <w:highlight w:val="none"/>
        </w:rPr>
        <w:t>CCC</w:t>
      </w:r>
      <w:r>
        <w:rPr>
          <w:rFonts w:hint="eastAsia" w:ascii="宋体" w:hAnsi="宋体" w:eastAsia="宋体" w:cs="宋体"/>
          <w:sz w:val="24"/>
          <w:szCs w:val="24"/>
          <w:highlight w:val="none"/>
        </w:rPr>
        <w:t>证书）。</w:t>
      </w:r>
    </w:p>
    <w:p w14:paraId="72C1A16D">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、应附有其它与投标单位、采购货物有关的荣誉证书或资料。</w:t>
      </w:r>
    </w:p>
    <w:p w14:paraId="50F2242A">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、必须附有投标货物涉及产品要求的、国家或行业管理规定要求的、或者投标方认为能够体现其投标货物合法性及先进性的最高级别的证明材料（投标货物不涉及的除外）：</w:t>
      </w:r>
    </w:p>
    <w:p w14:paraId="0195609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5.1</w:t>
      </w:r>
      <w:r>
        <w:rPr>
          <w:rFonts w:hint="eastAsia" w:ascii="宋体" w:hAnsi="宋体" w:eastAsia="宋体" w:cs="宋体"/>
          <w:sz w:val="24"/>
          <w:szCs w:val="24"/>
          <w:highlight w:val="none"/>
        </w:rPr>
        <w:t>国家相关机构颁发的有效期之内所必需的《生产许可证》。</w:t>
      </w:r>
    </w:p>
    <w:p w14:paraId="07FD60DB">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5.2</w:t>
      </w:r>
      <w:r>
        <w:rPr>
          <w:rFonts w:hint="eastAsia" w:ascii="宋体" w:hAnsi="宋体" w:eastAsia="宋体" w:cs="宋体"/>
          <w:sz w:val="24"/>
          <w:szCs w:val="24"/>
          <w:highlight w:val="none"/>
        </w:rPr>
        <w:t>产品（或技术）鉴定报告</w:t>
      </w:r>
      <w:r>
        <w:rPr>
          <w:rFonts w:ascii="宋体" w:hAnsi="宋体" w:eastAsia="宋体" w:cs="宋体"/>
          <w:sz w:val="24"/>
          <w:szCs w:val="24"/>
          <w:highlight w:val="none"/>
        </w:rPr>
        <w:t>/</w:t>
      </w:r>
      <w:r>
        <w:rPr>
          <w:rFonts w:hint="eastAsia" w:ascii="宋体" w:hAnsi="宋体" w:eastAsia="宋体" w:cs="宋体"/>
          <w:sz w:val="24"/>
          <w:szCs w:val="24"/>
          <w:highlight w:val="none"/>
        </w:rPr>
        <w:t>证书、专利证书或专利许可证书、新技术成果证书等。</w:t>
      </w:r>
    </w:p>
    <w:p w14:paraId="7ADD44A0">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5.3</w:t>
      </w:r>
      <w:r>
        <w:rPr>
          <w:rFonts w:hint="eastAsia" w:ascii="宋体" w:hAnsi="宋体" w:eastAsia="宋体" w:cs="宋体"/>
          <w:sz w:val="24"/>
          <w:szCs w:val="24"/>
          <w:highlight w:val="none"/>
        </w:rPr>
        <w:t>产品相关检验、试验报告，如：型式试验检验报告、安全试验检验报告、电弧效应试验报告、噪声检测报告等</w:t>
      </w:r>
    </w:p>
    <w:p w14:paraId="6CE24BE2">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5.4</w:t>
      </w:r>
      <w:r>
        <w:rPr>
          <w:rFonts w:hint="eastAsia" w:ascii="宋体" w:hAnsi="宋体" w:eastAsia="宋体" w:cs="宋体"/>
          <w:sz w:val="24"/>
          <w:szCs w:val="24"/>
          <w:highlight w:val="none"/>
        </w:rPr>
        <w:t>其它能够证明所供货物的质量水平、技术水平、安全性水平、节能性水平、环保性水平等相关的其它证明文件或资料、报告等。</w:t>
      </w:r>
    </w:p>
    <w:p w14:paraId="677D7BD0">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5.5</w:t>
      </w:r>
      <w:r>
        <w:rPr>
          <w:rFonts w:hint="eastAsia" w:ascii="宋体" w:hAnsi="宋体" w:eastAsia="宋体" w:cs="宋体"/>
          <w:sz w:val="24"/>
          <w:szCs w:val="24"/>
          <w:highlight w:val="none"/>
        </w:rPr>
        <w:t>该类报告或证明材料对于投标方胜出乃至中标极为重要！</w:t>
      </w:r>
    </w:p>
    <w:p w14:paraId="1DBB1BEF">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二、说明</w:t>
      </w:r>
    </w:p>
    <w:p w14:paraId="3548FF6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、投标方可以根据自身的技术、经验等优势以及对招标文件和本技术标书的理解，写明对招标方所采购货物的优化方案或建议意见。投标方的这些努力，投标方表示感谢，并将有助于投标方优先胜出。</w:t>
      </w:r>
    </w:p>
    <w:p w14:paraId="225BED1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、即使有建议意见或建议方案，仍应依据招标文件和本技术标书要求，编写符合要求的投标文件。建议方案或建议意见，应以单独篇章或文件，予以说明和报价。</w:t>
      </w:r>
    </w:p>
    <w:p w14:paraId="7273498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、请投标方仔细阅读“采购货物概况”章节内说明，针对允许分投分中的货物，招标方有权利选择其中优秀设备或服务，作为投标方合同供货范围中的指定选用设备或服务（替代投标方分投而未中标部分）。</w:t>
      </w:r>
    </w:p>
    <w:p w14:paraId="7AFE77B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、招标文件、投标文件、答疑文件、技术交流文件、技术协议书等，在采购过程全部为有效文件，如有差异，以对招标方最有利的条款为准。</w:t>
      </w:r>
    </w:p>
    <w:p w14:paraId="1F7C1151">
      <w:pPr>
        <w:spacing w:line="360" w:lineRule="auto"/>
        <w:ind w:firstLine="480" w:firstLineChars="200"/>
        <w:rPr>
          <w:rFonts w:hint="eastAsia" w:hAnsi="宋体" w:eastAsia="宋体" w:cs="Times New Roman"/>
          <w:b/>
          <w:color w:val="000000"/>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、为避免歧异，本技术标书涉及招投标环节的条款，均将潜在的卖方称为投标方、将买方称为招标方；定标后合同签署环节以及后续的合同执行环节条款，招标方称为买方、投标方中的中标方称为卖方。</w:t>
      </w:r>
    </w:p>
    <w:bookmarkEnd w:id="32"/>
    <w:p w14:paraId="7F8F74A7">
      <w:pPr>
        <w:pStyle w:val="160"/>
        <w:rPr>
          <w:b/>
          <w:bCs/>
        </w:rPr>
        <w:sectPr>
          <w:pgSz w:w="11906" w:h="16838"/>
          <w:pgMar w:top="1588" w:right="1418" w:bottom="1134" w:left="1418" w:header="851" w:footer="992" w:gutter="0"/>
          <w:pgNumType w:fmt="numberInDash"/>
          <w:cols w:space="720" w:num="1"/>
          <w:titlePg/>
          <w:docGrid w:type="lines" w:linePitch="312" w:charSpace="0"/>
        </w:sectPr>
      </w:pPr>
    </w:p>
    <w:p w14:paraId="5871DF53">
      <w:pPr>
        <w:pStyle w:val="157"/>
      </w:pPr>
      <w:bookmarkStart w:id="57" w:name="_Toc20595"/>
      <w:bookmarkStart w:id="58" w:name="_Toc47976609"/>
      <w:bookmarkStart w:id="59" w:name="_Toc12009"/>
      <w:r>
        <w:rPr>
          <w:rFonts w:hint="eastAsia"/>
        </w:rPr>
        <w:t>第三部分　合同主要条款</w:t>
      </w:r>
      <w:bookmarkEnd w:id="57"/>
      <w:bookmarkEnd w:id="58"/>
      <w:bookmarkEnd w:id="59"/>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7"/>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0" w:name="_Toc21324"/>
      <w:r>
        <w:rPr>
          <w:rFonts w:hint="eastAsia" w:ascii="黑体" w:hAnsi="黑体" w:eastAsia="黑体" w:cs="黑体"/>
          <w:b w:val="0"/>
          <w:iCs/>
          <w:kern w:val="2"/>
          <w:sz w:val="24"/>
          <w:szCs w:val="24"/>
          <w:lang w:val="en-US" w:eastAsia="zh-CN" w:bidi="ar-SA"/>
        </w:rPr>
        <w:t>1.合同设备标的</w:t>
      </w:r>
      <w:bookmarkEnd w:id="60"/>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12732"/>
      <w:r>
        <w:rPr>
          <w:rFonts w:hint="eastAsia" w:ascii="黑体" w:hAnsi="黑体" w:eastAsia="黑体" w:cs="黑体"/>
          <w:b w:val="0"/>
          <w:iCs/>
          <w:kern w:val="2"/>
          <w:sz w:val="24"/>
          <w:szCs w:val="24"/>
          <w:lang w:val="en-US" w:eastAsia="zh-CN" w:bidi="ar-SA"/>
        </w:rPr>
        <w:t>2.结算付款约定</w:t>
      </w:r>
      <w:bookmarkEnd w:id="61"/>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08"/>
        <w:gridCol w:w="3708"/>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0" w:type="auto"/>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0" w:type="auto"/>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0" w:type="auto"/>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0" w:type="auto"/>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0" w:type="auto"/>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0" w:type="auto"/>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0" w:type="auto"/>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0" w:type="auto"/>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0" w:type="auto"/>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0" w:type="auto"/>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0" w:type="auto"/>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0" w:type="auto"/>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0" w:type="auto"/>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0" w:type="auto"/>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0" w:type="auto"/>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0" w:type="auto"/>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0" w:type="auto"/>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0" w:type="auto"/>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0" w:type="auto"/>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0" w:type="auto"/>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0" w:type="auto"/>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0" w:type="auto"/>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0" w:type="auto"/>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0" w:type="auto"/>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2" w:name="_Toc11031"/>
      <w:r>
        <w:rPr>
          <w:rFonts w:hint="eastAsia" w:ascii="黑体" w:hAnsi="黑体" w:eastAsia="黑体" w:cs="黑体"/>
          <w:b w:val="0"/>
          <w:iCs/>
          <w:kern w:val="2"/>
          <w:sz w:val="24"/>
          <w:szCs w:val="24"/>
          <w:lang w:val="en-US" w:eastAsia="zh-CN" w:bidi="ar-SA"/>
        </w:rPr>
        <w:t>3.生效条款</w:t>
      </w:r>
      <w:bookmarkEnd w:id="62"/>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63" w:name="_Toc23222"/>
      <w:r>
        <w:rPr>
          <w:rFonts w:hint="eastAsia" w:ascii="黑体" w:hAnsi="黑体" w:eastAsia="黑体" w:cs="黑体"/>
          <w:b w:val="0"/>
          <w:iCs/>
          <w:kern w:val="2"/>
          <w:sz w:val="24"/>
          <w:szCs w:val="24"/>
          <w:lang w:val="en-US" w:eastAsia="zh-CN" w:bidi="ar-SA"/>
        </w:rPr>
        <w:t>4.特殊约定</w:t>
      </w:r>
      <w:bookmarkEnd w:id="63"/>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4" w:name="_Toc11192"/>
      <w:bookmarkStart w:id="65" w:name="_Toc11930"/>
      <w:bookmarkStart w:id="66" w:name="_Toc16330018"/>
      <w:bookmarkStart w:id="67" w:name="_Toc17619"/>
      <w:bookmarkStart w:id="68" w:name="_Toc11823"/>
      <w:r>
        <w:rPr>
          <w:rFonts w:hint="eastAsia" w:ascii="黑体" w:hAnsi="黑体" w:eastAsia="黑体" w:cs="黑体"/>
          <w:b w:val="0"/>
          <w:iCs/>
          <w:kern w:val="2"/>
          <w:sz w:val="24"/>
          <w:szCs w:val="24"/>
          <w:lang w:val="en-US" w:eastAsia="zh-CN" w:bidi="ar-SA"/>
        </w:rPr>
        <w:t>1 合同设备</w:t>
      </w:r>
      <w:bookmarkEnd w:id="64"/>
      <w:bookmarkEnd w:id="65"/>
      <w:bookmarkEnd w:id="66"/>
      <w:bookmarkEnd w:id="67"/>
      <w:bookmarkEnd w:id="68"/>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69" w:name="_Toc22800"/>
      <w:bookmarkStart w:id="70" w:name="_Toc32510"/>
      <w:bookmarkStart w:id="71" w:name="_Toc29026"/>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2" w:name="_Toc16330019"/>
      <w:bookmarkStart w:id="73" w:name="_Toc16451"/>
      <w:r>
        <w:rPr>
          <w:rFonts w:hint="eastAsia" w:ascii="黑体" w:hAnsi="黑体" w:eastAsia="黑体" w:cs="黑体"/>
          <w:b w:val="0"/>
          <w:iCs/>
          <w:kern w:val="2"/>
          <w:sz w:val="24"/>
          <w:szCs w:val="24"/>
          <w:lang w:val="en-US" w:eastAsia="zh-CN" w:bidi="ar-SA"/>
        </w:rPr>
        <w:t>2 包装</w:t>
      </w:r>
      <w:bookmarkEnd w:id="69"/>
      <w:bookmarkEnd w:id="70"/>
      <w:bookmarkEnd w:id="71"/>
      <w:bookmarkEnd w:id="72"/>
      <w:bookmarkEnd w:id="73"/>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4" w:name="_Toc2833"/>
      <w:bookmarkStart w:id="75" w:name="_Toc16330020"/>
      <w:bookmarkStart w:id="76" w:name="_Toc27453"/>
      <w:bookmarkStart w:id="77" w:name="_Toc27144"/>
      <w:bookmarkStart w:id="78" w:name="_Toc13922"/>
      <w:r>
        <w:rPr>
          <w:rFonts w:hint="eastAsia" w:ascii="黑体" w:hAnsi="黑体" w:eastAsia="黑体" w:cs="黑体"/>
          <w:b w:val="0"/>
          <w:iCs/>
          <w:kern w:val="2"/>
          <w:sz w:val="24"/>
          <w:szCs w:val="24"/>
          <w:lang w:val="en-US" w:eastAsia="zh-CN" w:bidi="ar-SA"/>
        </w:rPr>
        <w:t>3 运输标记</w:t>
      </w:r>
      <w:bookmarkEnd w:id="74"/>
      <w:bookmarkEnd w:id="75"/>
      <w:bookmarkEnd w:id="76"/>
      <w:bookmarkEnd w:id="77"/>
      <w:bookmarkEnd w:id="78"/>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16330021"/>
      <w:bookmarkStart w:id="80" w:name="_Toc16133"/>
      <w:bookmarkStart w:id="81" w:name="_Toc7431"/>
      <w:bookmarkStart w:id="82" w:name="_Toc10630"/>
      <w:bookmarkStart w:id="83" w:name="_Toc6516"/>
      <w:r>
        <w:rPr>
          <w:rFonts w:hint="eastAsia" w:ascii="黑体" w:hAnsi="黑体" w:eastAsia="黑体" w:cs="黑体"/>
          <w:b w:val="0"/>
          <w:iCs/>
          <w:kern w:val="2"/>
          <w:sz w:val="24"/>
          <w:szCs w:val="24"/>
          <w:lang w:val="en-US" w:eastAsia="zh-CN" w:bidi="ar-SA"/>
        </w:rPr>
        <w:t>4 检验</w:t>
      </w:r>
      <w:bookmarkEnd w:id="79"/>
      <w:bookmarkEnd w:id="80"/>
      <w:bookmarkEnd w:id="81"/>
      <w:bookmarkEnd w:id="82"/>
      <w:bookmarkEnd w:id="83"/>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4" w:name="_Toc16330022"/>
      <w:bookmarkStart w:id="85" w:name="_Toc19850"/>
      <w:bookmarkStart w:id="86" w:name="_Toc11217"/>
      <w:bookmarkStart w:id="87" w:name="_Toc15840"/>
      <w:bookmarkStart w:id="88" w:name="_Toc24467"/>
      <w:r>
        <w:rPr>
          <w:rFonts w:hint="eastAsia" w:ascii="黑体" w:hAnsi="黑体" w:eastAsia="黑体" w:cs="黑体"/>
          <w:b w:val="0"/>
          <w:iCs/>
          <w:kern w:val="2"/>
          <w:sz w:val="24"/>
          <w:szCs w:val="24"/>
          <w:lang w:val="en-US" w:eastAsia="zh-CN" w:bidi="ar-SA"/>
        </w:rPr>
        <w:t>5 权利担保</w:t>
      </w:r>
      <w:bookmarkEnd w:id="84"/>
      <w:bookmarkEnd w:id="85"/>
      <w:bookmarkEnd w:id="86"/>
      <w:bookmarkEnd w:id="87"/>
      <w:bookmarkEnd w:id="88"/>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9" w:name="_Toc27500"/>
      <w:bookmarkStart w:id="90" w:name="_Toc14809"/>
      <w:bookmarkStart w:id="91" w:name="_Toc19937"/>
      <w:bookmarkStart w:id="92" w:name="_Toc11759"/>
      <w:bookmarkStart w:id="93" w:name="_Toc16330023"/>
      <w:r>
        <w:rPr>
          <w:rFonts w:hint="eastAsia" w:ascii="黑体" w:hAnsi="黑体" w:eastAsia="黑体" w:cs="黑体"/>
          <w:b w:val="0"/>
          <w:iCs/>
          <w:kern w:val="2"/>
          <w:sz w:val="24"/>
          <w:szCs w:val="24"/>
          <w:lang w:val="en-US" w:eastAsia="zh-CN" w:bidi="ar-SA"/>
        </w:rPr>
        <w:t>6 交货</w:t>
      </w:r>
      <w:bookmarkEnd w:id="89"/>
      <w:bookmarkEnd w:id="90"/>
      <w:bookmarkEnd w:id="91"/>
      <w:bookmarkEnd w:id="92"/>
      <w:bookmarkEnd w:id="93"/>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4" w:name="_Toc16330024"/>
      <w:bookmarkStart w:id="95" w:name="_Toc2984"/>
      <w:bookmarkStart w:id="96" w:name="_Toc8024"/>
      <w:bookmarkStart w:id="97" w:name="_Toc13185"/>
      <w:bookmarkStart w:id="98" w:name="_Toc25510"/>
      <w:r>
        <w:rPr>
          <w:rFonts w:hint="eastAsia" w:ascii="黑体" w:hAnsi="黑体" w:eastAsia="黑体" w:cs="黑体"/>
          <w:b w:val="0"/>
          <w:iCs/>
          <w:kern w:val="2"/>
          <w:sz w:val="24"/>
          <w:szCs w:val="24"/>
          <w:lang w:val="en-US" w:eastAsia="zh-CN" w:bidi="ar-SA"/>
        </w:rPr>
        <w:t>7 安装、调试</w:t>
      </w:r>
      <w:bookmarkEnd w:id="94"/>
      <w:bookmarkEnd w:id="95"/>
      <w:bookmarkEnd w:id="96"/>
      <w:bookmarkEnd w:id="97"/>
      <w:bookmarkEnd w:id="98"/>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9" w:name="_Toc14260"/>
      <w:bookmarkStart w:id="100" w:name="_Toc16330025"/>
      <w:bookmarkStart w:id="101" w:name="_Toc22891"/>
      <w:bookmarkStart w:id="102" w:name="_Toc14098"/>
      <w:bookmarkStart w:id="103" w:name="_Toc6350"/>
      <w:r>
        <w:rPr>
          <w:rFonts w:hint="eastAsia" w:ascii="黑体" w:hAnsi="黑体" w:eastAsia="黑体" w:cs="黑体"/>
          <w:b w:val="0"/>
          <w:iCs/>
          <w:kern w:val="2"/>
          <w:sz w:val="24"/>
          <w:szCs w:val="24"/>
          <w:lang w:val="en-US" w:eastAsia="zh-CN" w:bidi="ar-SA"/>
        </w:rPr>
        <w:t>8 价款与支付</w:t>
      </w:r>
      <w:bookmarkEnd w:id="99"/>
      <w:bookmarkEnd w:id="100"/>
      <w:bookmarkEnd w:id="101"/>
      <w:bookmarkEnd w:id="102"/>
      <w:bookmarkEnd w:id="103"/>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4" w:name="_Toc16330026"/>
      <w:bookmarkStart w:id="105" w:name="_Toc24085"/>
      <w:bookmarkStart w:id="106" w:name="_Toc25708"/>
      <w:bookmarkStart w:id="107" w:name="_Toc6726"/>
      <w:bookmarkStart w:id="108" w:name="_Toc23616"/>
      <w:r>
        <w:rPr>
          <w:rFonts w:hint="eastAsia" w:ascii="黑体" w:hAnsi="黑体" w:eastAsia="黑体" w:cs="黑体"/>
          <w:b w:val="0"/>
          <w:iCs/>
          <w:kern w:val="2"/>
          <w:sz w:val="24"/>
          <w:szCs w:val="24"/>
          <w:lang w:val="en-US" w:eastAsia="zh-CN" w:bidi="ar-SA"/>
        </w:rPr>
        <w:t>9 质量保证及售后服务</w:t>
      </w:r>
      <w:bookmarkEnd w:id="104"/>
      <w:bookmarkEnd w:id="105"/>
      <w:bookmarkEnd w:id="106"/>
      <w:bookmarkEnd w:id="107"/>
      <w:bookmarkEnd w:id="108"/>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109" w:name="_Toc16330027"/>
      <w:bookmarkStart w:id="110" w:name="_Toc12927"/>
      <w:bookmarkStart w:id="111" w:name="_Toc10359"/>
      <w:bookmarkStart w:id="112" w:name="_Toc15570"/>
      <w:bookmarkStart w:id="113" w:name="_Toc19254"/>
      <w:r>
        <w:rPr>
          <w:rFonts w:hint="eastAsia" w:ascii="黑体" w:hAnsi="黑体" w:eastAsia="黑体" w:cs="黑体"/>
          <w:b w:val="0"/>
          <w:iCs/>
          <w:kern w:val="2"/>
          <w:sz w:val="24"/>
          <w:szCs w:val="24"/>
          <w:lang w:val="en-US" w:eastAsia="zh-CN" w:bidi="ar-SA"/>
        </w:rPr>
        <w:t>10法定责任</w:t>
      </w:r>
      <w:bookmarkEnd w:id="109"/>
      <w:bookmarkEnd w:id="110"/>
      <w:bookmarkEnd w:id="111"/>
      <w:bookmarkEnd w:id="112"/>
      <w:r>
        <w:rPr>
          <w:rFonts w:hint="eastAsia" w:ascii="黑体" w:hAnsi="黑体" w:eastAsia="黑体" w:cs="黑体"/>
          <w:b w:val="0"/>
          <w:iCs/>
          <w:kern w:val="2"/>
          <w:sz w:val="24"/>
          <w:szCs w:val="24"/>
          <w:lang w:val="en-US" w:eastAsia="zh-CN" w:bidi="ar-SA"/>
        </w:rPr>
        <w:t>及合规责任</w:t>
      </w:r>
      <w:bookmarkEnd w:id="113"/>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4" w:name="_Toc30381"/>
      <w:bookmarkStart w:id="115" w:name="_Toc16330028"/>
      <w:bookmarkStart w:id="116" w:name="_Toc9708"/>
      <w:bookmarkStart w:id="117" w:name="_Toc27314"/>
      <w:bookmarkStart w:id="118" w:name="_Toc22629"/>
      <w:r>
        <w:rPr>
          <w:rFonts w:hint="eastAsia" w:ascii="黑体" w:hAnsi="黑体" w:eastAsia="黑体" w:cs="黑体"/>
          <w:b w:val="0"/>
          <w:iCs/>
          <w:kern w:val="2"/>
          <w:sz w:val="24"/>
          <w:szCs w:val="24"/>
          <w:lang w:val="en-US" w:eastAsia="zh-CN" w:bidi="ar-SA"/>
        </w:rPr>
        <w:t>11 违约责任</w:t>
      </w:r>
      <w:bookmarkEnd w:id="114"/>
      <w:bookmarkEnd w:id="115"/>
      <w:bookmarkEnd w:id="116"/>
      <w:bookmarkEnd w:id="117"/>
      <w:bookmarkEnd w:id="118"/>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9" w:name="_Toc16330029"/>
      <w:bookmarkStart w:id="120" w:name="_Toc8535"/>
      <w:bookmarkStart w:id="121" w:name="_Toc9172"/>
      <w:bookmarkStart w:id="122" w:name="_Toc31554"/>
      <w:bookmarkStart w:id="123" w:name="_Toc1827"/>
      <w:r>
        <w:rPr>
          <w:rFonts w:hint="eastAsia" w:ascii="黑体" w:hAnsi="黑体" w:eastAsia="黑体" w:cs="黑体"/>
          <w:b w:val="0"/>
          <w:iCs/>
          <w:kern w:val="2"/>
          <w:sz w:val="24"/>
          <w:szCs w:val="24"/>
          <w:lang w:val="en-US" w:eastAsia="zh-CN" w:bidi="ar-SA"/>
        </w:rPr>
        <w:t>12 合同的终止与解除</w:t>
      </w:r>
      <w:bookmarkEnd w:id="119"/>
      <w:bookmarkEnd w:id="120"/>
      <w:bookmarkEnd w:id="121"/>
      <w:bookmarkEnd w:id="122"/>
      <w:bookmarkEnd w:id="123"/>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4" w:name="_Toc31945"/>
      <w:bookmarkStart w:id="125" w:name="_Toc16330030"/>
      <w:bookmarkStart w:id="126" w:name="_Toc8620"/>
      <w:bookmarkStart w:id="127" w:name="_Toc13671"/>
      <w:bookmarkStart w:id="128" w:name="_Toc14575"/>
      <w:r>
        <w:rPr>
          <w:rFonts w:hint="eastAsia" w:ascii="黑体" w:hAnsi="黑体" w:eastAsia="黑体" w:cs="黑体"/>
          <w:b w:val="0"/>
          <w:iCs/>
          <w:kern w:val="2"/>
          <w:sz w:val="24"/>
          <w:szCs w:val="24"/>
          <w:lang w:val="en-US" w:eastAsia="zh-CN" w:bidi="ar-SA"/>
        </w:rPr>
        <w:t>13 不可抗力</w:t>
      </w:r>
      <w:bookmarkEnd w:id="124"/>
      <w:bookmarkEnd w:id="125"/>
      <w:bookmarkEnd w:id="126"/>
      <w:bookmarkEnd w:id="127"/>
      <w:bookmarkEnd w:id="128"/>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9" w:name="_Toc30389"/>
      <w:bookmarkStart w:id="130" w:name="_Toc637"/>
      <w:bookmarkStart w:id="131" w:name="_Toc16330031"/>
      <w:bookmarkStart w:id="132" w:name="_Toc31243"/>
      <w:bookmarkStart w:id="133" w:name="_Toc3849"/>
      <w:r>
        <w:rPr>
          <w:rFonts w:hint="eastAsia" w:ascii="黑体" w:hAnsi="黑体" w:eastAsia="黑体" w:cs="黑体"/>
          <w:b w:val="0"/>
          <w:iCs/>
          <w:kern w:val="2"/>
          <w:sz w:val="24"/>
          <w:szCs w:val="24"/>
          <w:lang w:val="en-US" w:eastAsia="zh-CN" w:bidi="ar-SA"/>
        </w:rPr>
        <w:t>14 通讯</w:t>
      </w:r>
      <w:bookmarkEnd w:id="129"/>
      <w:bookmarkEnd w:id="130"/>
      <w:bookmarkEnd w:id="131"/>
      <w:bookmarkEnd w:id="132"/>
      <w:bookmarkEnd w:id="133"/>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4" w:name="_Toc12984"/>
      <w:bookmarkStart w:id="135" w:name="_Toc9915"/>
      <w:bookmarkStart w:id="136" w:name="_Toc11290"/>
      <w:bookmarkStart w:id="137" w:name="_Toc6534"/>
      <w:bookmarkStart w:id="138" w:name="_Toc16330032"/>
      <w:r>
        <w:rPr>
          <w:rFonts w:hint="eastAsia" w:ascii="黑体" w:hAnsi="黑体" w:eastAsia="黑体" w:cs="黑体"/>
          <w:b w:val="0"/>
          <w:iCs/>
          <w:kern w:val="2"/>
          <w:sz w:val="24"/>
          <w:szCs w:val="24"/>
          <w:lang w:val="en-US" w:eastAsia="zh-CN" w:bidi="ar-SA"/>
        </w:rPr>
        <w:t>15 适用法律及争议解决</w:t>
      </w:r>
      <w:bookmarkEnd w:id="134"/>
      <w:bookmarkEnd w:id="135"/>
      <w:bookmarkEnd w:id="136"/>
      <w:bookmarkEnd w:id="137"/>
      <w:bookmarkEnd w:id="138"/>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9" w:name="_Toc26977"/>
      <w:bookmarkStart w:id="140" w:name="_Toc23765"/>
      <w:bookmarkStart w:id="141" w:name="_Toc18207"/>
      <w:bookmarkStart w:id="142" w:name="_Toc16330033"/>
      <w:bookmarkStart w:id="143" w:name="_Toc23906"/>
      <w:r>
        <w:rPr>
          <w:rFonts w:hint="eastAsia" w:ascii="黑体" w:hAnsi="黑体" w:eastAsia="黑体" w:cs="黑体"/>
          <w:b w:val="0"/>
          <w:iCs/>
          <w:kern w:val="2"/>
          <w:sz w:val="24"/>
          <w:szCs w:val="24"/>
          <w:lang w:val="en-US" w:eastAsia="zh-CN" w:bidi="ar-SA"/>
        </w:rPr>
        <w:t>16 附件</w:t>
      </w:r>
      <w:bookmarkEnd w:id="139"/>
      <w:bookmarkEnd w:id="140"/>
      <w:bookmarkEnd w:id="141"/>
      <w:bookmarkEnd w:id="142"/>
      <w:bookmarkEnd w:id="143"/>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4" w:name="_Toc31331"/>
      <w:bookmarkStart w:id="145" w:name="_Toc16330034"/>
      <w:bookmarkStart w:id="146" w:name="_Toc27202"/>
      <w:bookmarkStart w:id="147" w:name="_Toc10952"/>
      <w:bookmarkStart w:id="148" w:name="_Toc17656"/>
      <w:r>
        <w:rPr>
          <w:rFonts w:hint="eastAsia" w:ascii="黑体" w:hAnsi="黑体" w:eastAsia="黑体" w:cs="黑体"/>
          <w:b w:val="0"/>
          <w:iCs/>
          <w:kern w:val="2"/>
          <w:sz w:val="24"/>
          <w:szCs w:val="24"/>
          <w:lang w:val="en-US" w:eastAsia="zh-CN" w:bidi="ar-SA"/>
        </w:rPr>
        <w:t>17 其他规定</w:t>
      </w:r>
      <w:bookmarkEnd w:id="144"/>
      <w:bookmarkEnd w:id="145"/>
      <w:bookmarkEnd w:id="146"/>
      <w:bookmarkEnd w:id="147"/>
      <w:bookmarkEnd w:id="148"/>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49" w:name="_Toc17952"/>
      <w:bookmarkStart w:id="150" w:name="_Toc16330035"/>
      <w:bookmarkStart w:id="151" w:name="_Toc19077"/>
      <w:bookmarkStart w:id="152"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53" w:name="_Toc5855"/>
      <w:r>
        <w:rPr>
          <w:rFonts w:hint="eastAsia" w:ascii="黑体" w:hAnsi="黑体" w:eastAsia="黑体" w:cs="黑体"/>
          <w:b w:val="0"/>
          <w:iCs/>
          <w:kern w:val="2"/>
          <w:sz w:val="24"/>
          <w:szCs w:val="24"/>
          <w:lang w:val="en-US" w:eastAsia="zh-CN" w:bidi="ar-SA"/>
        </w:rPr>
        <w:t>18 签署事项</w:t>
      </w:r>
      <w:bookmarkEnd w:id="149"/>
      <w:bookmarkEnd w:id="150"/>
      <w:bookmarkEnd w:id="151"/>
      <w:bookmarkEnd w:id="152"/>
      <w:bookmarkEnd w:id="153"/>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2106"/>
        <w:gridCol w:w="636"/>
        <w:gridCol w:w="636"/>
        <w:gridCol w:w="846"/>
        <w:gridCol w:w="636"/>
        <w:gridCol w:w="636"/>
        <w:gridCol w:w="636"/>
        <w:gridCol w:w="636"/>
        <w:gridCol w:w="63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0" w:type="auto"/>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0" w:type="auto"/>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0" w:type="auto"/>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0" w:type="auto"/>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0" w:type="auto"/>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0" w:type="auto"/>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0" w:type="auto"/>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0" w:type="auto"/>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0" w:type="auto"/>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0" w:type="auto"/>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0" w:type="auto"/>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0" w:type="auto"/>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0" w:type="auto"/>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14:paraId="77792998">
            <w:pPr>
              <w:spacing w:after="0" w:line="360" w:lineRule="auto"/>
              <w:jc w:val="center"/>
              <w:rPr>
                <w:rFonts w:ascii="仿宋_GB2312" w:hAnsi="宋体" w:eastAsia="仿宋_GB2312" w:cs="宋体"/>
              </w:rPr>
            </w:pPr>
          </w:p>
        </w:tc>
        <w:tc>
          <w:tcPr>
            <w:tcW w:w="0" w:type="auto"/>
            <w:vAlign w:val="center"/>
          </w:tcPr>
          <w:p w14:paraId="6E220184">
            <w:pPr>
              <w:spacing w:after="0" w:line="360" w:lineRule="auto"/>
              <w:jc w:val="center"/>
              <w:rPr>
                <w:rFonts w:ascii="仿宋_GB2312" w:hAnsi="宋体" w:eastAsia="仿宋_GB2312" w:cs="宋体"/>
              </w:rPr>
            </w:pPr>
          </w:p>
        </w:tc>
        <w:tc>
          <w:tcPr>
            <w:tcW w:w="0" w:type="auto"/>
            <w:vAlign w:val="center"/>
          </w:tcPr>
          <w:p w14:paraId="4A5B8689">
            <w:pPr>
              <w:spacing w:after="0" w:line="360" w:lineRule="auto"/>
              <w:jc w:val="center"/>
              <w:rPr>
                <w:rFonts w:ascii="仿宋_GB2312" w:hAnsi="宋体" w:eastAsia="仿宋_GB2312" w:cs="宋体"/>
              </w:rPr>
            </w:pPr>
          </w:p>
        </w:tc>
        <w:tc>
          <w:tcPr>
            <w:tcW w:w="0" w:type="auto"/>
            <w:vAlign w:val="center"/>
          </w:tcPr>
          <w:p w14:paraId="7E32BC93">
            <w:pPr>
              <w:spacing w:after="0" w:line="360" w:lineRule="auto"/>
              <w:jc w:val="center"/>
              <w:rPr>
                <w:rFonts w:ascii="仿宋_GB2312" w:hAnsi="宋体" w:eastAsia="仿宋_GB2312" w:cs="宋体"/>
              </w:rPr>
            </w:pPr>
          </w:p>
        </w:tc>
        <w:tc>
          <w:tcPr>
            <w:tcW w:w="0" w:type="auto"/>
            <w:vAlign w:val="center"/>
          </w:tcPr>
          <w:p w14:paraId="5A8B913F">
            <w:pPr>
              <w:spacing w:after="0" w:line="360" w:lineRule="auto"/>
              <w:jc w:val="center"/>
              <w:rPr>
                <w:rFonts w:ascii="仿宋_GB2312" w:hAnsi="宋体" w:eastAsia="仿宋_GB2312" w:cs="宋体"/>
              </w:rPr>
            </w:pPr>
          </w:p>
        </w:tc>
        <w:tc>
          <w:tcPr>
            <w:tcW w:w="0" w:type="auto"/>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157"/>
        <w:rPr>
          <w:rFonts w:hint="default" w:eastAsia="黑体"/>
          <w:lang w:val="en-US" w:eastAsia="zh-CN"/>
        </w:rPr>
      </w:pPr>
      <w:bookmarkStart w:id="154" w:name="_Toc47976615"/>
      <w:bookmarkStart w:id="155" w:name="_Toc14376"/>
      <w:bookmarkStart w:id="156" w:name="_Toc5925"/>
      <w:r>
        <w:rPr>
          <w:rFonts w:hint="eastAsia"/>
        </w:rPr>
        <w:t>第四部分　</w:t>
      </w:r>
      <w:bookmarkEnd w:id="154"/>
      <w:r>
        <w:rPr>
          <w:rFonts w:hint="eastAsia"/>
          <w:lang w:val="en-US" w:eastAsia="zh-CN"/>
        </w:rPr>
        <w:t>投标文件附件</w:t>
      </w:r>
      <w:bookmarkEnd w:id="155"/>
      <w:bookmarkEnd w:id="156"/>
    </w:p>
    <w:p w14:paraId="600DE1DD">
      <w:pPr>
        <w:pStyle w:val="157"/>
        <w:jc w:val="left"/>
        <w:rPr>
          <w:rFonts w:hint="eastAsia" w:ascii="宋体" w:hAnsi="宋体" w:eastAsia="宋体" w:cs="宋体"/>
          <w:sz w:val="32"/>
          <w:szCs w:val="32"/>
          <w:highlight w:val="none"/>
          <w:lang w:eastAsia="zh-CN"/>
        </w:rPr>
      </w:pPr>
      <w:bookmarkStart w:id="157" w:name="_Toc4225"/>
      <w:bookmarkStart w:id="158" w:name="_Toc47976616"/>
      <w:bookmarkStart w:id="159" w:name="_Toc78"/>
      <w:r>
        <w:rPr>
          <w:rFonts w:hint="eastAsia" w:ascii="宋体" w:hAnsi="宋体" w:eastAsia="宋体" w:cs="宋体"/>
          <w:sz w:val="32"/>
          <w:szCs w:val="32"/>
          <w:highlight w:val="none"/>
        </w:rPr>
        <w:t>附件</w:t>
      </w:r>
      <w:bookmarkEnd w:id="157"/>
      <w:bookmarkEnd w:id="158"/>
      <w:r>
        <w:rPr>
          <w:rFonts w:hint="eastAsia" w:ascii="宋体" w:hAnsi="宋体" w:eastAsia="宋体" w:cs="宋体"/>
          <w:sz w:val="32"/>
          <w:szCs w:val="32"/>
          <w:highlight w:val="none"/>
          <w:lang w:val="en-US" w:eastAsia="zh-CN"/>
        </w:rPr>
        <w:t>1</w:t>
      </w:r>
      <w:bookmarkEnd w:id="159"/>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158"/>
        <w:numPr>
          <w:ilvl w:val="0"/>
          <w:numId w:val="0"/>
        </w:numPr>
        <w:ind w:leftChars="0"/>
        <w:rPr>
          <w:rFonts w:hint="eastAsia" w:ascii="宋体" w:hAnsi="宋体" w:eastAsia="宋体" w:cs="宋体"/>
          <w:sz w:val="32"/>
          <w:szCs w:val="32"/>
          <w:highlight w:val="none"/>
          <w:lang w:val="en-US" w:eastAsia="zh-CN"/>
        </w:rPr>
      </w:pPr>
      <w:bookmarkStart w:id="160" w:name="_Toc47976618"/>
      <w:bookmarkStart w:id="161" w:name="_Toc29366865"/>
      <w:bookmarkStart w:id="162" w:name="_Toc29366869"/>
      <w:r>
        <w:rPr>
          <w:rFonts w:hint="eastAsia" w:ascii="宋体" w:hAnsi="宋体" w:eastAsia="宋体" w:cs="宋体"/>
          <w:sz w:val="32"/>
          <w:szCs w:val="32"/>
          <w:highlight w:val="none"/>
          <w:lang w:val="en-US" w:eastAsia="zh-CN"/>
        </w:rPr>
        <w:t>附件2</w:t>
      </w:r>
      <w:bookmarkEnd w:id="160"/>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u w:val="single"/>
          <w:lang w:val="en-US" w:eastAsia="zh-CN"/>
        </w:rPr>
        <w:t>新能源轻卡怀挡车型改造项目-焊装线改造项目（ZBGL2026020231</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7"/>
      </w:pPr>
    </w:p>
    <w:p w14:paraId="3A5DEF51">
      <w:pPr>
        <w:spacing w:line="360" w:lineRule="auto"/>
        <w:rPr>
          <w:rFonts w:ascii="宋体" w:hAnsi="宋体" w:cs="宋体"/>
          <w:sz w:val="24"/>
          <w:szCs w:val="21"/>
        </w:rPr>
      </w:pPr>
    </w:p>
    <w:bookmarkEnd w:id="161"/>
    <w:bookmarkEnd w:id="162"/>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7"/>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7"/>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7"/>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7"/>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7"/>
              <w:spacing w:before="114"/>
              <w:ind w:left="720"/>
            </w:pPr>
            <w:r>
              <w:t xml:space="preserve">品牌区分 </w:t>
            </w:r>
          </w:p>
        </w:tc>
        <w:tc>
          <w:tcPr>
            <w:tcW w:w="7500" w:type="dxa"/>
            <w:gridSpan w:val="6"/>
          </w:tcPr>
          <w:p w14:paraId="6CB73591">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7"/>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37"/>
              <w:spacing w:before="15"/>
              <w:ind w:left="279"/>
            </w:pPr>
            <w:r>
              <w:rPr>
                <w:spacing w:val="-2"/>
              </w:rPr>
              <w:t>质量</w:t>
            </w:r>
            <w:r>
              <w:t xml:space="preserve"> </w:t>
            </w:r>
          </w:p>
          <w:p w14:paraId="7E67F972">
            <w:pPr>
              <w:pStyle w:val="137"/>
              <w:spacing w:before="30" w:line="277" w:lineRule="exact"/>
              <w:ind w:left="279"/>
            </w:pPr>
            <w:r>
              <w:rPr>
                <w:rFonts w:hint="eastAsia"/>
              </w:rPr>
              <w:t>体系</w:t>
            </w:r>
          </w:p>
        </w:tc>
        <w:tc>
          <w:tcPr>
            <w:tcW w:w="2820" w:type="dxa"/>
            <w:gridSpan w:val="2"/>
          </w:tcPr>
          <w:p w14:paraId="75D97D6D">
            <w:pPr>
              <w:pStyle w:val="137"/>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7"/>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4E833C1C">
      <w:pPr>
        <w:rPr>
          <w:rFonts w:hint="eastAsia" w:ascii="Times New Roman" w:hAnsi="Times New Roman" w:eastAsia="宋体" w:cs="Times New Roman"/>
          <w:b/>
          <w:bCs/>
          <w:color w:val="000000"/>
          <w:sz w:val="24"/>
          <w:szCs w:val="24"/>
        </w:rPr>
        <w:sectPr>
          <w:footerReference r:id="rId12" w:type="default"/>
          <w:pgSz w:w="11907" w:h="16841"/>
          <w:pgMar w:top="1587" w:right="1168" w:bottom="1134" w:left="1417" w:header="0" w:footer="990" w:gutter="0"/>
          <w:cols w:equalWidth="0" w:num="1">
            <w:col w:w="13980"/>
          </w:cols>
        </w:sectPr>
      </w:pPr>
    </w:p>
    <w:p w14:paraId="313ACAB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6E2E2542">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143365F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5"/>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1E7E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14:paraId="5469B2F6">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tcPr>
          <w:p w14:paraId="3078309E">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14:paraId="1219788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335" w:type="dxa"/>
          </w:tcPr>
          <w:p w14:paraId="2240BF42">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824" w:type="dxa"/>
          </w:tcPr>
          <w:p w14:paraId="076A293C">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54D64E83">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355" w:type="dxa"/>
          </w:tcPr>
          <w:p w14:paraId="2FBA34D7">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769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B9A1868">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14:paraId="2F8F6BC9">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181DE3F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14:paraId="5AFA8FD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1824" w:type="dxa"/>
            <w:vAlign w:val="center"/>
          </w:tcPr>
          <w:p w14:paraId="031D32BB">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14:paraId="34A3CA49">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14:paraId="6A20E931">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487BB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3B0EAE">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1</w:t>
            </w:r>
          </w:p>
        </w:tc>
        <w:tc>
          <w:tcPr>
            <w:tcW w:w="2238" w:type="dxa"/>
            <w:vAlign w:val="center"/>
          </w:tcPr>
          <w:p w14:paraId="03146F1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35B43372">
            <w:pPr>
              <w:rPr>
                <w:rFonts w:ascii="Arial"/>
                <w:highlight w:val="none"/>
              </w:rPr>
            </w:pPr>
          </w:p>
        </w:tc>
        <w:tc>
          <w:tcPr>
            <w:tcW w:w="1335" w:type="dxa"/>
            <w:vAlign w:val="center"/>
          </w:tcPr>
          <w:p w14:paraId="1F70849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05B2C110">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1619C97E">
            <w:pPr>
              <w:rPr>
                <w:rFonts w:ascii="Arial"/>
                <w:highlight w:val="none"/>
              </w:rPr>
            </w:pPr>
          </w:p>
        </w:tc>
        <w:tc>
          <w:tcPr>
            <w:tcW w:w="1355" w:type="dxa"/>
          </w:tcPr>
          <w:p w14:paraId="2C91C3A9">
            <w:pPr>
              <w:rPr>
                <w:rFonts w:ascii="Arial"/>
                <w:highlight w:val="none"/>
              </w:rPr>
            </w:pPr>
          </w:p>
        </w:tc>
      </w:tr>
      <w:tr w14:paraId="615A1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B14CBBC">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2</w:t>
            </w:r>
          </w:p>
        </w:tc>
        <w:tc>
          <w:tcPr>
            <w:tcW w:w="2238" w:type="dxa"/>
            <w:vAlign w:val="center"/>
          </w:tcPr>
          <w:p w14:paraId="3502F91F">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DEC17E2">
            <w:pPr>
              <w:rPr>
                <w:rFonts w:ascii="Arial"/>
                <w:highlight w:val="none"/>
              </w:rPr>
            </w:pPr>
          </w:p>
        </w:tc>
        <w:tc>
          <w:tcPr>
            <w:tcW w:w="1335" w:type="dxa"/>
            <w:vAlign w:val="center"/>
          </w:tcPr>
          <w:p w14:paraId="4564E77D">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7DEA513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4F6BF2BC">
            <w:pPr>
              <w:rPr>
                <w:rFonts w:ascii="Arial"/>
                <w:highlight w:val="none"/>
              </w:rPr>
            </w:pPr>
          </w:p>
        </w:tc>
        <w:tc>
          <w:tcPr>
            <w:tcW w:w="1355" w:type="dxa"/>
          </w:tcPr>
          <w:p w14:paraId="57834D10">
            <w:pPr>
              <w:rPr>
                <w:rFonts w:ascii="Arial"/>
                <w:highlight w:val="none"/>
              </w:rPr>
            </w:pPr>
          </w:p>
        </w:tc>
      </w:tr>
      <w:tr w14:paraId="4BB98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4492693">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3</w:t>
            </w:r>
          </w:p>
        </w:tc>
        <w:tc>
          <w:tcPr>
            <w:tcW w:w="2238" w:type="dxa"/>
            <w:vAlign w:val="center"/>
          </w:tcPr>
          <w:p w14:paraId="529C4FB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2AC09AC1">
            <w:pPr>
              <w:rPr>
                <w:rFonts w:ascii="Arial"/>
                <w:highlight w:val="none"/>
              </w:rPr>
            </w:pPr>
          </w:p>
        </w:tc>
        <w:tc>
          <w:tcPr>
            <w:tcW w:w="1335" w:type="dxa"/>
            <w:vAlign w:val="center"/>
          </w:tcPr>
          <w:p w14:paraId="6DCDD81E">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6B34E1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066FDDA">
            <w:pPr>
              <w:rPr>
                <w:rFonts w:ascii="Arial"/>
                <w:highlight w:val="none"/>
              </w:rPr>
            </w:pPr>
          </w:p>
        </w:tc>
        <w:tc>
          <w:tcPr>
            <w:tcW w:w="1355" w:type="dxa"/>
          </w:tcPr>
          <w:p w14:paraId="3C59607F">
            <w:pPr>
              <w:rPr>
                <w:rFonts w:ascii="Arial"/>
                <w:highlight w:val="none"/>
              </w:rPr>
            </w:pPr>
          </w:p>
        </w:tc>
      </w:tr>
      <w:tr w14:paraId="1199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751D2C2">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4</w:t>
            </w:r>
          </w:p>
        </w:tc>
        <w:tc>
          <w:tcPr>
            <w:tcW w:w="2238" w:type="dxa"/>
            <w:vAlign w:val="center"/>
          </w:tcPr>
          <w:p w14:paraId="7B5774C2">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1B2CC471">
            <w:pPr>
              <w:rPr>
                <w:rFonts w:ascii="Arial"/>
                <w:highlight w:val="none"/>
              </w:rPr>
            </w:pPr>
          </w:p>
        </w:tc>
        <w:tc>
          <w:tcPr>
            <w:tcW w:w="1335" w:type="dxa"/>
            <w:vAlign w:val="center"/>
          </w:tcPr>
          <w:p w14:paraId="11D53E1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7B9CEF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89EA3F7">
            <w:pPr>
              <w:rPr>
                <w:rFonts w:ascii="Arial"/>
                <w:highlight w:val="none"/>
              </w:rPr>
            </w:pPr>
          </w:p>
        </w:tc>
        <w:tc>
          <w:tcPr>
            <w:tcW w:w="1355" w:type="dxa"/>
          </w:tcPr>
          <w:p w14:paraId="686EC229">
            <w:pPr>
              <w:rPr>
                <w:rFonts w:ascii="Arial"/>
                <w:highlight w:val="none"/>
              </w:rPr>
            </w:pPr>
          </w:p>
        </w:tc>
      </w:tr>
      <w:tr w14:paraId="30DA4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90EFD09">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5</w:t>
            </w:r>
          </w:p>
        </w:tc>
        <w:tc>
          <w:tcPr>
            <w:tcW w:w="2238" w:type="dxa"/>
            <w:vAlign w:val="center"/>
          </w:tcPr>
          <w:p w14:paraId="4422205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5C853C66">
            <w:pPr>
              <w:rPr>
                <w:rFonts w:ascii="Arial"/>
                <w:highlight w:val="none"/>
              </w:rPr>
            </w:pPr>
          </w:p>
        </w:tc>
        <w:tc>
          <w:tcPr>
            <w:tcW w:w="1335" w:type="dxa"/>
            <w:vAlign w:val="center"/>
          </w:tcPr>
          <w:p w14:paraId="6E732035">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1E042B24">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67DACAC5">
            <w:pPr>
              <w:rPr>
                <w:rFonts w:ascii="Arial"/>
                <w:highlight w:val="none"/>
              </w:rPr>
            </w:pPr>
          </w:p>
        </w:tc>
        <w:tc>
          <w:tcPr>
            <w:tcW w:w="1355" w:type="dxa"/>
          </w:tcPr>
          <w:p w14:paraId="05257B4C">
            <w:pPr>
              <w:rPr>
                <w:rFonts w:ascii="Arial"/>
                <w:highlight w:val="none"/>
              </w:rPr>
            </w:pPr>
          </w:p>
        </w:tc>
      </w:tr>
      <w:tr w14:paraId="3F71D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6111C896">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6</w:t>
            </w:r>
          </w:p>
        </w:tc>
        <w:tc>
          <w:tcPr>
            <w:tcW w:w="2238" w:type="dxa"/>
            <w:vAlign w:val="center"/>
          </w:tcPr>
          <w:p w14:paraId="3E496F2B">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6056099">
            <w:pPr>
              <w:rPr>
                <w:rFonts w:ascii="Arial"/>
                <w:highlight w:val="none"/>
              </w:rPr>
            </w:pPr>
          </w:p>
        </w:tc>
        <w:tc>
          <w:tcPr>
            <w:tcW w:w="1335" w:type="dxa"/>
            <w:vAlign w:val="center"/>
          </w:tcPr>
          <w:p w14:paraId="6916A5CC">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2B96953A">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289D078B">
            <w:pPr>
              <w:rPr>
                <w:rFonts w:ascii="Arial"/>
                <w:highlight w:val="none"/>
              </w:rPr>
            </w:pPr>
          </w:p>
        </w:tc>
        <w:tc>
          <w:tcPr>
            <w:tcW w:w="1355" w:type="dxa"/>
          </w:tcPr>
          <w:p w14:paraId="362298FF">
            <w:pPr>
              <w:rPr>
                <w:rFonts w:ascii="Arial"/>
                <w:highlight w:val="none"/>
              </w:rPr>
            </w:pPr>
          </w:p>
        </w:tc>
      </w:tr>
      <w:tr w14:paraId="37BF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6A9886B8">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7</w:t>
            </w:r>
          </w:p>
        </w:tc>
        <w:tc>
          <w:tcPr>
            <w:tcW w:w="2238" w:type="dxa"/>
            <w:vAlign w:val="center"/>
          </w:tcPr>
          <w:p w14:paraId="38003D0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6E382FCC">
            <w:pPr>
              <w:rPr>
                <w:rFonts w:ascii="Arial"/>
                <w:highlight w:val="none"/>
              </w:rPr>
            </w:pPr>
          </w:p>
        </w:tc>
        <w:tc>
          <w:tcPr>
            <w:tcW w:w="1335" w:type="dxa"/>
            <w:vAlign w:val="center"/>
          </w:tcPr>
          <w:p w14:paraId="7BA4056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72F01658">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43CA89F9">
            <w:pPr>
              <w:rPr>
                <w:rFonts w:ascii="Arial"/>
                <w:highlight w:val="none"/>
              </w:rPr>
            </w:pPr>
          </w:p>
        </w:tc>
        <w:tc>
          <w:tcPr>
            <w:tcW w:w="1355" w:type="dxa"/>
          </w:tcPr>
          <w:p w14:paraId="06BCBF94">
            <w:pPr>
              <w:rPr>
                <w:rFonts w:ascii="Arial"/>
                <w:highlight w:val="none"/>
              </w:rPr>
            </w:pPr>
          </w:p>
        </w:tc>
      </w:tr>
      <w:tr w14:paraId="045F6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AA43B3E">
            <w:pPr>
              <w:spacing w:line="360" w:lineRule="exact"/>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8</w:t>
            </w:r>
          </w:p>
        </w:tc>
        <w:tc>
          <w:tcPr>
            <w:tcW w:w="2238" w:type="dxa"/>
            <w:vAlign w:val="center"/>
          </w:tcPr>
          <w:p w14:paraId="5622A583">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239" w:type="dxa"/>
          </w:tcPr>
          <w:p w14:paraId="3236709F">
            <w:pPr>
              <w:rPr>
                <w:rFonts w:ascii="Arial"/>
                <w:highlight w:val="none"/>
              </w:rPr>
            </w:pPr>
          </w:p>
        </w:tc>
        <w:tc>
          <w:tcPr>
            <w:tcW w:w="1335" w:type="dxa"/>
            <w:vAlign w:val="center"/>
          </w:tcPr>
          <w:p w14:paraId="6582BA09">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1824" w:type="dxa"/>
            <w:vAlign w:val="center"/>
          </w:tcPr>
          <w:p w14:paraId="4027D896">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362" w:type="dxa"/>
            <w:tcBorders>
              <w:left w:val="single" w:color="000000" w:sz="4" w:space="0"/>
            </w:tcBorders>
          </w:tcPr>
          <w:p w14:paraId="0FA8C6EE">
            <w:pPr>
              <w:rPr>
                <w:rFonts w:ascii="Arial"/>
                <w:highlight w:val="none"/>
              </w:rPr>
            </w:pPr>
          </w:p>
        </w:tc>
        <w:tc>
          <w:tcPr>
            <w:tcW w:w="1355" w:type="dxa"/>
          </w:tcPr>
          <w:p w14:paraId="01F0640E">
            <w:pPr>
              <w:rPr>
                <w:rFonts w:ascii="Arial"/>
                <w:highlight w:val="none"/>
              </w:rPr>
            </w:pPr>
          </w:p>
        </w:tc>
      </w:tr>
      <w:tr w14:paraId="42F0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00C8731">
            <w:pPr>
              <w:spacing w:line="360" w:lineRule="exact"/>
              <w:jc w:val="center"/>
              <w:rPr>
                <w:rFonts w:hint="eastAsia" w:ascii="宋体" w:hAnsi="宋体" w:eastAsia="宋体" w:cs="宋体"/>
                <w:sz w:val="24"/>
                <w:szCs w:val="24"/>
                <w:highlight w:val="none"/>
                <w:lang w:val="en-US" w:eastAsia="zh-CN"/>
              </w:rPr>
            </w:pPr>
          </w:p>
        </w:tc>
        <w:tc>
          <w:tcPr>
            <w:tcW w:w="2238" w:type="dxa"/>
            <w:vAlign w:val="center"/>
          </w:tcPr>
          <w:p w14:paraId="7D31C4C0">
            <w:pPr>
              <w:spacing w:line="360" w:lineRule="auto"/>
              <w:ind w:firstLine="0" w:firstLineChars="0"/>
              <w:jc w:val="center"/>
              <w:rPr>
                <w:rFonts w:hint="eastAsia" w:ascii="宋体" w:hAnsi="宋体" w:eastAsia="宋体" w:cs="宋体"/>
                <w:color w:val="auto"/>
                <w:sz w:val="24"/>
                <w:szCs w:val="24"/>
                <w:highlight w:val="none"/>
              </w:rPr>
            </w:pPr>
          </w:p>
        </w:tc>
        <w:tc>
          <w:tcPr>
            <w:tcW w:w="2239" w:type="dxa"/>
          </w:tcPr>
          <w:p w14:paraId="7FDC8238">
            <w:pPr>
              <w:rPr>
                <w:rFonts w:ascii="Arial"/>
                <w:highlight w:val="none"/>
              </w:rPr>
            </w:pPr>
          </w:p>
        </w:tc>
        <w:tc>
          <w:tcPr>
            <w:tcW w:w="1335" w:type="dxa"/>
            <w:vAlign w:val="center"/>
          </w:tcPr>
          <w:p w14:paraId="1D5F110F">
            <w:pPr>
              <w:spacing w:line="360" w:lineRule="auto"/>
              <w:ind w:firstLine="0" w:firstLineChars="0"/>
              <w:jc w:val="center"/>
              <w:rPr>
                <w:rFonts w:hint="eastAsia" w:ascii="宋体" w:hAnsi="宋体" w:eastAsia="宋体" w:cs="宋体"/>
                <w:color w:val="auto"/>
                <w:sz w:val="24"/>
                <w:szCs w:val="24"/>
                <w:highlight w:val="none"/>
              </w:rPr>
            </w:pPr>
          </w:p>
        </w:tc>
        <w:tc>
          <w:tcPr>
            <w:tcW w:w="1824" w:type="dxa"/>
            <w:vAlign w:val="center"/>
          </w:tcPr>
          <w:p w14:paraId="60AC28DB">
            <w:pPr>
              <w:spacing w:line="360" w:lineRule="auto"/>
              <w:ind w:firstLine="0" w:firstLineChars="0"/>
              <w:jc w:val="center"/>
              <w:rPr>
                <w:rFonts w:hint="eastAsia" w:ascii="宋体" w:hAnsi="宋体" w:eastAsia="宋体" w:cs="宋体"/>
                <w:color w:val="auto"/>
                <w:sz w:val="24"/>
                <w:szCs w:val="24"/>
                <w:highlight w:val="none"/>
                <w:lang w:val="en-US" w:eastAsia="zh-CN"/>
              </w:rPr>
            </w:pPr>
          </w:p>
        </w:tc>
        <w:tc>
          <w:tcPr>
            <w:tcW w:w="2362" w:type="dxa"/>
            <w:tcBorders>
              <w:left w:val="single" w:color="000000" w:sz="4" w:space="0"/>
            </w:tcBorders>
          </w:tcPr>
          <w:p w14:paraId="25464965">
            <w:pPr>
              <w:rPr>
                <w:rFonts w:ascii="Arial"/>
                <w:highlight w:val="none"/>
              </w:rPr>
            </w:pPr>
          </w:p>
        </w:tc>
        <w:tc>
          <w:tcPr>
            <w:tcW w:w="1355" w:type="dxa"/>
          </w:tcPr>
          <w:p w14:paraId="40B272DB">
            <w:pPr>
              <w:rPr>
                <w:rFonts w:ascii="Arial"/>
                <w:highlight w:val="none"/>
              </w:rPr>
            </w:pPr>
          </w:p>
        </w:tc>
      </w:tr>
      <w:tr w14:paraId="68B6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14:paraId="58949CE2">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tcPr>
          <w:p w14:paraId="563E62A3">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14:paraId="429FAD1B">
            <w:pPr>
              <w:rPr>
                <w:rFonts w:ascii="Arial"/>
                <w:highlight w:val="none"/>
              </w:rPr>
            </w:pPr>
          </w:p>
        </w:tc>
        <w:tc>
          <w:tcPr>
            <w:tcW w:w="1335" w:type="dxa"/>
          </w:tcPr>
          <w:p w14:paraId="02DF32E9">
            <w:pPr>
              <w:rPr>
                <w:rFonts w:ascii="Arial"/>
                <w:highlight w:val="none"/>
              </w:rPr>
            </w:pPr>
          </w:p>
        </w:tc>
        <w:tc>
          <w:tcPr>
            <w:tcW w:w="1824" w:type="dxa"/>
          </w:tcPr>
          <w:p w14:paraId="2110148A">
            <w:pPr>
              <w:rPr>
                <w:rFonts w:ascii="Arial"/>
                <w:highlight w:val="none"/>
              </w:rPr>
            </w:pPr>
          </w:p>
        </w:tc>
        <w:tc>
          <w:tcPr>
            <w:tcW w:w="2362" w:type="dxa"/>
            <w:tcBorders>
              <w:left w:val="single" w:color="000000" w:sz="4" w:space="0"/>
            </w:tcBorders>
          </w:tcPr>
          <w:p w14:paraId="062D8F9E">
            <w:pPr>
              <w:rPr>
                <w:rFonts w:ascii="Arial"/>
                <w:highlight w:val="none"/>
              </w:rPr>
            </w:pPr>
          </w:p>
        </w:tc>
        <w:tc>
          <w:tcPr>
            <w:tcW w:w="1355" w:type="dxa"/>
          </w:tcPr>
          <w:p w14:paraId="3494BA50">
            <w:pPr>
              <w:rPr>
                <w:rFonts w:ascii="Arial"/>
                <w:highlight w:val="none"/>
              </w:rPr>
            </w:pPr>
          </w:p>
        </w:tc>
      </w:tr>
    </w:tbl>
    <w:p w14:paraId="394E28E9">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3181B9F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3677B0D5">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7C15BBDB">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2E73CABF">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4FF92C35">
      <w:pPr>
        <w:sectPr>
          <w:pgSz w:w="16841" w:h="11907" w:orient="landscape"/>
          <w:pgMar w:top="400" w:right="1387" w:bottom="1168" w:left="1473" w:header="0" w:footer="990" w:gutter="0"/>
          <w:cols w:equalWidth="0" w:num="1">
            <w:col w:w="13980"/>
          </w:cols>
        </w:sectPr>
      </w:pPr>
    </w:p>
    <w:p w14:paraId="422E3A4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0280B1B">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566705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96E73C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65C8D05">
      <w:pPr>
        <w:rPr>
          <w:rFonts w:hint="eastAsia" w:ascii="Times New Roman" w:hAnsi="Times New Roman" w:eastAsia="宋体" w:cs="Times New Roman"/>
          <w:b/>
          <w:bCs/>
          <w:color w:val="000000"/>
          <w:sz w:val="24"/>
          <w:szCs w:val="24"/>
        </w:rPr>
      </w:pP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8"/>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8"/>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449"/>
        <w:gridCol w:w="1042"/>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449"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42"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449"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42"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7"/>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7"/>
        <w:sectPr>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3"/>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3" w:type="default"/>
          <w:footerReference r:id="rId14"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7"/>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5"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35"/>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6"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7"/>
        <w:pageBreakBefore w:val="0"/>
        <w:widowControl w:val="0"/>
        <w:kinsoku/>
        <w:wordWrap/>
        <w:overflowPunct/>
        <w:topLinePunct w:val="0"/>
        <w:autoSpaceDE/>
        <w:autoSpaceDN/>
        <w:bidi w:val="0"/>
        <w:adjustRightInd/>
        <w:snapToGrid/>
        <w:spacing w:after="0"/>
        <w:textAlignment w:val="auto"/>
      </w:pPr>
    </w:p>
    <w:p w14:paraId="1976CBAA">
      <w:pPr>
        <w:pStyle w:val="17"/>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7"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7"/>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7"/>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8" w:type="first"/>
          <w:footerReference r:id="rId20" w:type="first"/>
          <w:footerReference r:id="rId19"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8"/>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40"/>
                <w:rFonts w:hint="default"/>
                <w:spacing w:val="315"/>
                <w:kern w:val="0"/>
                <w:fitText w:val="1050" w:id="2022511805"/>
                <w:lang w:bidi="ar"/>
              </w:rPr>
              <w:t>内</w:t>
            </w:r>
            <w:r>
              <w:rPr>
                <w:rStyle w:val="140"/>
                <w:rFonts w:hint="default"/>
                <w:spacing w:val="0"/>
                <w:kern w:val="0"/>
                <w:fitText w:val="1050" w:id="2022511805"/>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40"/>
                <w:rFonts w:hint="eastAsia" w:eastAsia="宋体"/>
                <w:lang w:val="en-US" w:eastAsia="zh-CN" w:bidi="ar"/>
              </w:rPr>
            </w:pPr>
            <w:r>
              <w:rPr>
                <w:rStyle w:val="140"/>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7"/>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7"/>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7"/>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760085" cy="2810122"/>
                    </a:xfrm>
                    <a:prstGeom prst="rect">
                      <a:avLst/>
                    </a:prstGeom>
                  </pic:spPr>
                </pic:pic>
              </a:graphicData>
            </a:graphic>
          </wp:inline>
        </w:drawing>
      </w:r>
    </w:p>
    <w:p w14:paraId="7362023B">
      <w:pPr>
        <w:pStyle w:val="17"/>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2820042"/>
                    </a:xfrm>
                    <a:prstGeom prst="rect">
                      <a:avLst/>
                    </a:prstGeom>
                  </pic:spPr>
                </pic:pic>
              </a:graphicData>
            </a:graphic>
          </wp:inline>
        </w:drawing>
      </w:r>
    </w:p>
    <w:p w14:paraId="11FC7CE2">
      <w:pPr>
        <w:pStyle w:val="17"/>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7"/>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7"/>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7"/>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5"/>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6"/>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7"/>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7"/>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8"/>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39"/>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40"/>
                    <a:stretch>
                      <a:fillRect/>
                    </a:stretch>
                  </pic:blipFill>
                  <pic:spPr>
                    <a:xfrm>
                      <a:off x="0" y="0"/>
                      <a:ext cx="6002655" cy="2518410"/>
                    </a:xfrm>
                    <a:prstGeom prst="rect">
                      <a:avLst/>
                    </a:prstGeom>
                  </pic:spPr>
                </pic:pic>
              </a:graphicData>
            </a:graphic>
          </wp:inline>
        </w:drawing>
      </w:r>
    </w:p>
    <w:p w14:paraId="3121E729">
      <w:pPr>
        <w:pStyle w:val="160"/>
        <w:rPr>
          <w:rFonts w:hint="default" w:hAnsi="宋体"/>
          <w:sz w:val="24"/>
          <w:lang w:val="en-US"/>
        </w:rPr>
      </w:pPr>
    </w:p>
    <w:p w14:paraId="6101508F">
      <w:pPr>
        <w:rPr>
          <w:rFonts w:hint="eastAsia" w:hAnsi="宋体" w:eastAsia="宋体" w:cs="Times New Roman"/>
          <w:b/>
          <w:color w:val="000000"/>
          <w:sz w:val="24"/>
          <w:szCs w:val="24"/>
          <w:highlight w:val="none"/>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2AAF4D6-EA9F-4E23-80E4-3F4454758EBF}"/>
  </w:font>
  <w:font w:name="黑体">
    <w:panose1 w:val="02010609060101010101"/>
    <w:charset w:val="86"/>
    <w:family w:val="auto"/>
    <w:pitch w:val="default"/>
    <w:sig w:usb0="800002BF" w:usb1="38CF7CFA" w:usb2="00000016" w:usb3="00000000" w:csb0="00040001" w:csb1="00000000"/>
    <w:embedRegular r:id="rId2" w:fontKey="{BFFF6A77-1255-416B-8134-70E234040F41}"/>
  </w:font>
  <w:font w:name="Courier New">
    <w:panose1 w:val="02070309020205020404"/>
    <w:charset w:val="01"/>
    <w:family w:val="modern"/>
    <w:pitch w:val="default"/>
    <w:sig w:usb0="E0002EFF" w:usb1="C0007843" w:usb2="00000009" w:usb3="00000000" w:csb0="400001FF" w:csb1="FFFF0000"/>
    <w:embedRegular r:id="rId3" w:fontKey="{48B259B3-C815-42F0-8697-3E365920A0F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83FE707-DCC4-47B6-97C8-C3BE14C64EAB}"/>
  </w:font>
  <w:font w:name="等线">
    <w:panose1 w:val="02010600030101010101"/>
    <w:charset w:val="86"/>
    <w:family w:val="auto"/>
    <w:pitch w:val="default"/>
    <w:sig w:usb0="A00002BF" w:usb1="38CF7CFA" w:usb2="00000016" w:usb3="00000000" w:csb0="0004000F" w:csb1="00000000"/>
    <w:embedRegular r:id="rId5" w:fontKey="{AFB9305B-60F5-418E-8FED-F1B1877F39D3}"/>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124CC4B0-2B71-48E1-B322-4B5A1AA7E9DC}"/>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auto"/>
    <w:pitch w:val="default"/>
    <w:sig w:usb0="00000001" w:usb1="080E0000" w:usb2="00000000" w:usb3="00000000" w:csb0="00040000" w:csb1="00000000"/>
    <w:embedRegular r:id="rId7" w:fontKey="{CFB22CC6-FC42-4BEA-86BB-E8B85DD26D8C}"/>
  </w:font>
  <w:font w:name="??">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embedRegular r:id="rId8" w:fontKey="{00D0EEB4-06AB-4A7D-9CC0-F90399FC0C40}"/>
  </w:font>
  <w:font w:name="方正小标宋简体">
    <w:panose1 w:val="03000509000000000000"/>
    <w:charset w:val="86"/>
    <w:family w:val="script"/>
    <w:pitch w:val="default"/>
    <w:sig w:usb0="00000001" w:usb1="080E0000" w:usb2="00000000" w:usb3="00000000" w:csb0="00040000" w:csb1="00000000"/>
    <w:embedRegular r:id="rId9" w:fontKey="{5780B2A5-1D27-4973-8454-B100B820C7CE}"/>
  </w:font>
  <w:font w:name="Wingdings 2">
    <w:panose1 w:val="05020102010507070707"/>
    <w:charset w:val="02"/>
    <w:family w:val="roman"/>
    <w:pitch w:val="default"/>
    <w:sig w:usb0="00000000" w:usb1="00000000" w:usb2="00000000" w:usb3="00000000" w:csb0="80000000" w:csb1="00000000"/>
    <w:embedRegular r:id="rId10" w:fontKey="{AF8E801B-316F-4EC3-9E44-1725A6C92A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A09A2">
    <w:pPr>
      <w:pStyle w:val="2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363CD7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2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23"/>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DAEC731">
                    <w:pPr>
                      <w:pStyle w:val="23"/>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3"/>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348D4">
    <w:pPr>
      <w:pStyle w:val="2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A719EA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AF636">
    <w:pPr>
      <w:pStyle w:val="23"/>
      <w:jc w:val="center"/>
      <w:rPr>
        <w:sz w:val="21"/>
        <w:szCs w:val="20"/>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32"/>
                          </w:sdtPr>
                          <w:sdtContent>
                            <w:p w14:paraId="63614A2D">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sdt>
                    <w:sdtPr>
                      <w:id w:val="147482032"/>
                    </w:sdtPr>
                    <w:sdtContent>
                      <w:p w14:paraId="63614A2D">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1F298B5"/>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23"/>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596"/>
                          </w:sdtPr>
                          <w:sdtContent>
                            <w:sdt>
                              <w:sdtPr>
                                <w:id w:val="147473185"/>
                              </w:sdtPr>
                              <w:sdtContent>
                                <w:p w14:paraId="79AC3900">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sdt>
                    <w:sdtPr>
                      <w:id w:val="147466596"/>
                    </w:sdtPr>
                    <w:sdtContent>
                      <w:sdt>
                        <w:sdtPr>
                          <w:id w:val="147473185"/>
                        </w:sdtPr>
                        <w:sdtContent>
                          <w:p w14:paraId="79AC3900">
                            <w:pPr>
                              <w:pStyle w:val="23"/>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7D6E6A3F"/>
                </w:txbxContent>
              </v:textbox>
            </v:shape>
          </w:pict>
        </mc:Fallback>
      </mc:AlternateContent>
    </w:r>
  </w:p>
  <w:p w14:paraId="651627BB">
    <w:pPr>
      <w:pStyle w:val="23"/>
      <w:jc w:val="center"/>
    </w:pPr>
  </w:p>
  <w:p w14:paraId="1DFF0D79"/>
  <w:p w14:paraId="5CB49AF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4F1">
    <w:pPr>
      <w:pStyle w:val="23"/>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AF249B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77941">
    <w:pPr>
      <w:spacing w:line="182" w:lineRule="auto"/>
      <w:ind w:left="6866"/>
      <w:rPr>
        <w:rFonts w:ascii="宋体" w:hAnsi="宋体" w:eastAsia="宋体" w:cs="宋体"/>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2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23"/>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2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23"/>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2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23"/>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75C67">
    <w:pPr>
      <w:pStyle w:val="24"/>
      <w:ind w:firstLine="360"/>
      <w:jc w:val="right"/>
    </w:pPr>
    <w:r>
      <w:rPr>
        <w:rFonts w:hint="eastAsia"/>
      </w:rPr>
      <w:t>中国重汽集团济南商用车有限公司新能源轻卡怀挡车型改造项目-焊装线改造项目招标书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04E2F">
    <w:pPr>
      <w:pStyle w:val="24"/>
      <w:ind w:firstLine="360"/>
      <w:jc w:val="right"/>
    </w:pPr>
    <w:r>
      <w:rPr>
        <w:rFonts w:hint="eastAsia"/>
      </w:rPr>
      <w:t>中国重汽集团济南商用车有限公司新能源轻卡怀挡车型改造项目-焊装线改造项目招标书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10961">
    <w:pPr>
      <w:pStyle w:val="24"/>
      <w:ind w:firstLine="360"/>
      <w:jc w:val="right"/>
    </w:pPr>
    <w:r>
      <w:rPr>
        <w:rFonts w:hint="eastAsia"/>
      </w:rPr>
      <w:t>中国重汽集团济南商用车有限公司新能源轻卡怀挡车型改造项目-焊装线改造项目招标书</w:t>
    </w:r>
  </w:p>
  <w:p w14:paraId="418EF7C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4DA2C">
    <w:pPr>
      <w:pStyle w:val="24"/>
      <w:ind w:firstLine="360"/>
      <w:jc w:val="right"/>
      <w:rPr>
        <w:rFonts w:hint="eastAsia"/>
      </w:rPr>
    </w:pPr>
    <w:r>
      <w:rPr>
        <w:rFonts w:hint="eastAsia"/>
      </w:rPr>
      <w:t>中国重汽集团济南商用车有限公司新能源轻卡怀挡车型改造项目-焊装线改造项目招标书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F4A33">
    <w:pPr>
      <w:pStyle w:val="24"/>
      <w:ind w:firstLine="360"/>
      <w:jc w:val="right"/>
    </w:pPr>
    <w:r>
      <w:rPr>
        <w:rFonts w:hint="eastAsia"/>
      </w:rPr>
      <w:t>中国重汽集团济南商用车有限公司新能源轻卡怀挡车型改造项目-焊装线改造项目招标书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B68">
    <w:pPr>
      <w:pStyle w:val="24"/>
      <w:ind w:firstLine="360"/>
      <w:jc w:val="right"/>
    </w:pPr>
    <w:r>
      <w:rPr>
        <w:rFonts w:hint="eastAsia"/>
      </w:rPr>
      <w:t>中国重汽集团济南商用车有限公司新能源轻卡怀挡车型改造项目-焊装线改造项目招标书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B8755D9"/>
    <w:multiLevelType w:val="singleLevel"/>
    <w:tmpl w:val="8B8755D9"/>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3">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4">
    <w:nsid w:val="93852671"/>
    <w:multiLevelType w:val="singleLevel"/>
    <w:tmpl w:val="93852671"/>
    <w:lvl w:ilvl="0" w:tentative="0">
      <w:start w:val="1"/>
      <w:numFmt w:val="decimal"/>
      <w:lvlText w:val="%1."/>
      <w:lvlJc w:val="left"/>
      <w:pPr>
        <w:ind w:left="425" w:hanging="425"/>
      </w:pPr>
      <w:rPr>
        <w:rFonts w:hint="default"/>
      </w:rPr>
    </w:lvl>
  </w:abstractNum>
  <w:abstractNum w:abstractNumId="5">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14">
    <w:nsid w:val="06882CE3"/>
    <w:multiLevelType w:val="multilevel"/>
    <w:tmpl w:val="06882CE3"/>
    <w:lvl w:ilvl="0" w:tentative="0">
      <w:start w:val="1"/>
      <w:numFmt w:val="decimal"/>
      <w:pStyle w:val="16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43C2A2C"/>
    <w:multiLevelType w:val="multilevel"/>
    <w:tmpl w:val="343C2A2C"/>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17">
    <w:nsid w:val="3CF6EF77"/>
    <w:multiLevelType w:val="singleLevel"/>
    <w:tmpl w:val="3CF6EF77"/>
    <w:lvl w:ilvl="0" w:tentative="0">
      <w:start w:val="1"/>
      <w:numFmt w:val="decimal"/>
      <w:lvlText w:val="%1."/>
      <w:lvlJc w:val="left"/>
      <w:pPr>
        <w:ind w:left="425" w:hanging="425"/>
      </w:pPr>
      <w:rPr>
        <w:rFonts w:hint="default"/>
      </w:rPr>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F170FA9"/>
    <w:multiLevelType w:val="singleLevel"/>
    <w:tmpl w:val="4F170FA9"/>
    <w:lvl w:ilvl="0" w:tentative="0">
      <w:start w:val="1"/>
      <w:numFmt w:val="bullet"/>
      <w:lvlText w:val=""/>
      <w:lvlJc w:val="left"/>
      <w:pPr>
        <w:ind w:left="420" w:hanging="420"/>
      </w:pPr>
      <w:rPr>
        <w:rFonts w:hint="default" w:ascii="Wingdings" w:hAnsi="Wingdings"/>
      </w:rPr>
    </w:lvl>
  </w:abstractNum>
  <w:abstractNum w:abstractNumId="21">
    <w:nsid w:val="520018B0"/>
    <w:multiLevelType w:val="multilevel"/>
    <w:tmpl w:val="520018B0"/>
    <w:lvl w:ilvl="0" w:tentative="0">
      <w:start w:val="1"/>
      <w:numFmt w:val="decimal"/>
      <w:pStyle w:val="161"/>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15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15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006D1E"/>
    <w:multiLevelType w:val="multilevel"/>
    <w:tmpl w:val="7C006D1E"/>
    <w:lvl w:ilvl="0" w:tentative="0">
      <w:start w:val="1"/>
      <w:numFmt w:val="bullet"/>
      <w:lvlText w:val=""/>
      <w:lvlJc w:val="left"/>
      <w:pPr>
        <w:ind w:left="1140" w:hanging="360"/>
      </w:pPr>
      <w:rPr>
        <w:rFonts w:hint="default" w:ascii="Wingdings" w:hAnsi="Wingdings"/>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2"/>
  </w:num>
  <w:num w:numId="2">
    <w:abstractNumId w:val="25"/>
  </w:num>
  <w:num w:numId="3">
    <w:abstractNumId w:val="24"/>
  </w:num>
  <w:num w:numId="4">
    <w:abstractNumId w:val="22"/>
  </w:num>
  <w:num w:numId="5">
    <w:abstractNumId w:val="21"/>
  </w:num>
  <w:num w:numId="6">
    <w:abstractNumId w:val="14"/>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 w:numId="12">
    <w:abstractNumId w:val="6"/>
  </w:num>
  <w:num w:numId="13">
    <w:abstractNumId w:val="0"/>
  </w:num>
  <w:num w:numId="14">
    <w:abstractNumId w:val="4"/>
  </w:num>
  <w:num w:numId="15">
    <w:abstractNumId w:val="23"/>
  </w:num>
  <w:num w:numId="16">
    <w:abstractNumId w:val="26"/>
  </w:num>
  <w:num w:numId="17">
    <w:abstractNumId w:val="15"/>
  </w:num>
  <w:num w:numId="18">
    <w:abstractNumId w:val="10"/>
  </w:num>
  <w:num w:numId="19">
    <w:abstractNumId w:val="9"/>
  </w:num>
  <w:num w:numId="20">
    <w:abstractNumId w:val="5"/>
  </w:num>
  <w:num w:numId="21">
    <w:abstractNumId w:val="1"/>
  </w:num>
  <w:num w:numId="22">
    <w:abstractNumId w:val="7"/>
  </w:num>
  <w:num w:numId="23">
    <w:abstractNumId w:val="12"/>
  </w:num>
  <w:num w:numId="24">
    <w:abstractNumId w:val="11"/>
  </w:num>
  <w:num w:numId="25">
    <w:abstractNumId w:val="19"/>
  </w:num>
  <w:num w:numId="26">
    <w:abstractNumId w:val="17"/>
  </w:num>
  <w:num w:numId="27">
    <w:abstractNumId w:val="13"/>
  </w:num>
  <w:num w:numId="28">
    <w:abstractNumId w:val="20"/>
  </w:num>
  <w:num w:numId="29">
    <w:abstractNumId w:val="1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YjQ3NDY1NzBlZTY2NDdhYzEwY2Y5M2M2NzEwNzYifQ=="/>
    <w:docVar w:name="KSO_WPS_MARK_KEY" w:val="d0a53947-1893-4369-bf97-2e4dc540ee15"/>
  </w:docVars>
  <w:rsids>
    <w:rsidRoot w:val="00172A27"/>
    <w:rsid w:val="000139F5"/>
    <w:rsid w:val="00022B06"/>
    <w:rsid w:val="00023895"/>
    <w:rsid w:val="0003142B"/>
    <w:rsid w:val="00036836"/>
    <w:rsid w:val="0005777A"/>
    <w:rsid w:val="00065382"/>
    <w:rsid w:val="00071127"/>
    <w:rsid w:val="00076D48"/>
    <w:rsid w:val="00080223"/>
    <w:rsid w:val="000A5309"/>
    <w:rsid w:val="000D6A51"/>
    <w:rsid w:val="000E1817"/>
    <w:rsid w:val="000E685E"/>
    <w:rsid w:val="000F45A3"/>
    <w:rsid w:val="001162E0"/>
    <w:rsid w:val="00130392"/>
    <w:rsid w:val="00172A27"/>
    <w:rsid w:val="001C1EE3"/>
    <w:rsid w:val="001C713C"/>
    <w:rsid w:val="001D75B9"/>
    <w:rsid w:val="001D77BD"/>
    <w:rsid w:val="00200F05"/>
    <w:rsid w:val="00220056"/>
    <w:rsid w:val="002225C1"/>
    <w:rsid w:val="002321AF"/>
    <w:rsid w:val="00237A6E"/>
    <w:rsid w:val="002626ED"/>
    <w:rsid w:val="00265A40"/>
    <w:rsid w:val="002661FA"/>
    <w:rsid w:val="00282FDE"/>
    <w:rsid w:val="0029130A"/>
    <w:rsid w:val="002966FF"/>
    <w:rsid w:val="002A1AB1"/>
    <w:rsid w:val="002B5A4E"/>
    <w:rsid w:val="002C7248"/>
    <w:rsid w:val="002D7FF1"/>
    <w:rsid w:val="002F51C0"/>
    <w:rsid w:val="00300288"/>
    <w:rsid w:val="00304A6C"/>
    <w:rsid w:val="00311764"/>
    <w:rsid w:val="00366914"/>
    <w:rsid w:val="003875AC"/>
    <w:rsid w:val="003A0914"/>
    <w:rsid w:val="003A4540"/>
    <w:rsid w:val="003B4D7D"/>
    <w:rsid w:val="003C629E"/>
    <w:rsid w:val="003E0AB3"/>
    <w:rsid w:val="003F4A89"/>
    <w:rsid w:val="00401C42"/>
    <w:rsid w:val="004076DE"/>
    <w:rsid w:val="00411EE4"/>
    <w:rsid w:val="004142B4"/>
    <w:rsid w:val="00417449"/>
    <w:rsid w:val="004256DC"/>
    <w:rsid w:val="00460AFB"/>
    <w:rsid w:val="00467CFB"/>
    <w:rsid w:val="00470130"/>
    <w:rsid w:val="00483B0A"/>
    <w:rsid w:val="00491402"/>
    <w:rsid w:val="00496195"/>
    <w:rsid w:val="004B5126"/>
    <w:rsid w:val="004B7C14"/>
    <w:rsid w:val="004C23B9"/>
    <w:rsid w:val="004D18FA"/>
    <w:rsid w:val="004F7838"/>
    <w:rsid w:val="00503391"/>
    <w:rsid w:val="005063F3"/>
    <w:rsid w:val="00517F8B"/>
    <w:rsid w:val="00542725"/>
    <w:rsid w:val="00547C5C"/>
    <w:rsid w:val="00552960"/>
    <w:rsid w:val="00557300"/>
    <w:rsid w:val="0056018A"/>
    <w:rsid w:val="00560A9C"/>
    <w:rsid w:val="00567344"/>
    <w:rsid w:val="005801C4"/>
    <w:rsid w:val="005829DC"/>
    <w:rsid w:val="005C0B4E"/>
    <w:rsid w:val="005C421F"/>
    <w:rsid w:val="005D43C7"/>
    <w:rsid w:val="005F16F0"/>
    <w:rsid w:val="00612A90"/>
    <w:rsid w:val="0062199F"/>
    <w:rsid w:val="00623773"/>
    <w:rsid w:val="00650EA7"/>
    <w:rsid w:val="0065185D"/>
    <w:rsid w:val="00655A4A"/>
    <w:rsid w:val="00656894"/>
    <w:rsid w:val="00676191"/>
    <w:rsid w:val="00680629"/>
    <w:rsid w:val="006806B8"/>
    <w:rsid w:val="006867ED"/>
    <w:rsid w:val="00686C52"/>
    <w:rsid w:val="00695432"/>
    <w:rsid w:val="006B7645"/>
    <w:rsid w:val="006C5B8D"/>
    <w:rsid w:val="006D7E8F"/>
    <w:rsid w:val="006F1414"/>
    <w:rsid w:val="00720637"/>
    <w:rsid w:val="007430AF"/>
    <w:rsid w:val="007432BF"/>
    <w:rsid w:val="007525BF"/>
    <w:rsid w:val="007800DC"/>
    <w:rsid w:val="0078055A"/>
    <w:rsid w:val="007838AA"/>
    <w:rsid w:val="00783D5E"/>
    <w:rsid w:val="00785843"/>
    <w:rsid w:val="00785FD6"/>
    <w:rsid w:val="00794895"/>
    <w:rsid w:val="007A51B4"/>
    <w:rsid w:val="007A5630"/>
    <w:rsid w:val="007B212D"/>
    <w:rsid w:val="007B3003"/>
    <w:rsid w:val="007D679A"/>
    <w:rsid w:val="00806A61"/>
    <w:rsid w:val="00824BFD"/>
    <w:rsid w:val="008453B3"/>
    <w:rsid w:val="00893A79"/>
    <w:rsid w:val="008D3B56"/>
    <w:rsid w:val="008D3D7F"/>
    <w:rsid w:val="008D5CEF"/>
    <w:rsid w:val="00925EBB"/>
    <w:rsid w:val="009360F9"/>
    <w:rsid w:val="0094714A"/>
    <w:rsid w:val="00947CFE"/>
    <w:rsid w:val="00964F00"/>
    <w:rsid w:val="00973F50"/>
    <w:rsid w:val="009934D9"/>
    <w:rsid w:val="009B511E"/>
    <w:rsid w:val="009C15E2"/>
    <w:rsid w:val="009E0A91"/>
    <w:rsid w:val="009E0F5E"/>
    <w:rsid w:val="009E10F7"/>
    <w:rsid w:val="009E1E02"/>
    <w:rsid w:val="00A148A7"/>
    <w:rsid w:val="00A21EB2"/>
    <w:rsid w:val="00A21F04"/>
    <w:rsid w:val="00A269A7"/>
    <w:rsid w:val="00A31561"/>
    <w:rsid w:val="00A32FE0"/>
    <w:rsid w:val="00A54E95"/>
    <w:rsid w:val="00A646BD"/>
    <w:rsid w:val="00A66DED"/>
    <w:rsid w:val="00A80561"/>
    <w:rsid w:val="00A80564"/>
    <w:rsid w:val="00A94500"/>
    <w:rsid w:val="00A960B2"/>
    <w:rsid w:val="00A97CBB"/>
    <w:rsid w:val="00AA5AD2"/>
    <w:rsid w:val="00AE6633"/>
    <w:rsid w:val="00AF2319"/>
    <w:rsid w:val="00B01FF1"/>
    <w:rsid w:val="00B066EB"/>
    <w:rsid w:val="00B06796"/>
    <w:rsid w:val="00B25FE1"/>
    <w:rsid w:val="00B62D8D"/>
    <w:rsid w:val="00B72516"/>
    <w:rsid w:val="00B73F88"/>
    <w:rsid w:val="00B92C97"/>
    <w:rsid w:val="00B95E51"/>
    <w:rsid w:val="00BA3C70"/>
    <w:rsid w:val="00BB40B8"/>
    <w:rsid w:val="00BB4E42"/>
    <w:rsid w:val="00BC3339"/>
    <w:rsid w:val="00BD563A"/>
    <w:rsid w:val="00BE5F91"/>
    <w:rsid w:val="00BF0E19"/>
    <w:rsid w:val="00C01073"/>
    <w:rsid w:val="00C261B3"/>
    <w:rsid w:val="00C31CAD"/>
    <w:rsid w:val="00C33FF0"/>
    <w:rsid w:val="00C43293"/>
    <w:rsid w:val="00C76EF3"/>
    <w:rsid w:val="00C855F6"/>
    <w:rsid w:val="00C92F53"/>
    <w:rsid w:val="00CD5223"/>
    <w:rsid w:val="00CE5010"/>
    <w:rsid w:val="00CE6E17"/>
    <w:rsid w:val="00CF03B7"/>
    <w:rsid w:val="00CF34ED"/>
    <w:rsid w:val="00CF5C94"/>
    <w:rsid w:val="00D0144F"/>
    <w:rsid w:val="00D0528A"/>
    <w:rsid w:val="00D11B37"/>
    <w:rsid w:val="00D172BA"/>
    <w:rsid w:val="00D408EF"/>
    <w:rsid w:val="00D5145C"/>
    <w:rsid w:val="00D64DAE"/>
    <w:rsid w:val="00D729A1"/>
    <w:rsid w:val="00D8750D"/>
    <w:rsid w:val="00D87893"/>
    <w:rsid w:val="00D94EA1"/>
    <w:rsid w:val="00D955A4"/>
    <w:rsid w:val="00DB5225"/>
    <w:rsid w:val="00DD0A7F"/>
    <w:rsid w:val="00DD1E5E"/>
    <w:rsid w:val="00DD6BA8"/>
    <w:rsid w:val="00DE6152"/>
    <w:rsid w:val="00DE6417"/>
    <w:rsid w:val="00DE7A09"/>
    <w:rsid w:val="00E0062C"/>
    <w:rsid w:val="00E10500"/>
    <w:rsid w:val="00E10B6A"/>
    <w:rsid w:val="00E1627A"/>
    <w:rsid w:val="00E20779"/>
    <w:rsid w:val="00E234D9"/>
    <w:rsid w:val="00E34C35"/>
    <w:rsid w:val="00E62E52"/>
    <w:rsid w:val="00E650A8"/>
    <w:rsid w:val="00E6543E"/>
    <w:rsid w:val="00E874DA"/>
    <w:rsid w:val="00E878B4"/>
    <w:rsid w:val="00EB1C92"/>
    <w:rsid w:val="00EB3D00"/>
    <w:rsid w:val="00EC69F6"/>
    <w:rsid w:val="00ED66A3"/>
    <w:rsid w:val="00F440B2"/>
    <w:rsid w:val="00F61A22"/>
    <w:rsid w:val="00F71720"/>
    <w:rsid w:val="00F72B27"/>
    <w:rsid w:val="00F766B5"/>
    <w:rsid w:val="00FE040F"/>
    <w:rsid w:val="00FE42B3"/>
    <w:rsid w:val="01042CD0"/>
    <w:rsid w:val="01437C9C"/>
    <w:rsid w:val="0147778C"/>
    <w:rsid w:val="014832F2"/>
    <w:rsid w:val="014D51C1"/>
    <w:rsid w:val="01714809"/>
    <w:rsid w:val="01C52478"/>
    <w:rsid w:val="020874E3"/>
    <w:rsid w:val="020B63F1"/>
    <w:rsid w:val="021C006B"/>
    <w:rsid w:val="021D06EC"/>
    <w:rsid w:val="027408EE"/>
    <w:rsid w:val="02963F39"/>
    <w:rsid w:val="02B3095A"/>
    <w:rsid w:val="02BA7274"/>
    <w:rsid w:val="02C5727B"/>
    <w:rsid w:val="03251978"/>
    <w:rsid w:val="0325718A"/>
    <w:rsid w:val="03F205D1"/>
    <w:rsid w:val="0402799B"/>
    <w:rsid w:val="042921B6"/>
    <w:rsid w:val="043B72BB"/>
    <w:rsid w:val="04461EC1"/>
    <w:rsid w:val="04504B3F"/>
    <w:rsid w:val="045B63A0"/>
    <w:rsid w:val="049A5E25"/>
    <w:rsid w:val="049F168E"/>
    <w:rsid w:val="04AD02B8"/>
    <w:rsid w:val="04B944C7"/>
    <w:rsid w:val="04DE51C8"/>
    <w:rsid w:val="04DF17D4"/>
    <w:rsid w:val="05412745"/>
    <w:rsid w:val="05491761"/>
    <w:rsid w:val="058663AA"/>
    <w:rsid w:val="05A351AD"/>
    <w:rsid w:val="05D1591C"/>
    <w:rsid w:val="05F9748A"/>
    <w:rsid w:val="06266F78"/>
    <w:rsid w:val="063E7B7A"/>
    <w:rsid w:val="06565D7C"/>
    <w:rsid w:val="06582413"/>
    <w:rsid w:val="067E33B8"/>
    <w:rsid w:val="06936492"/>
    <w:rsid w:val="069F7723"/>
    <w:rsid w:val="06D7510F"/>
    <w:rsid w:val="06E82FCB"/>
    <w:rsid w:val="06F34B95"/>
    <w:rsid w:val="06F7755F"/>
    <w:rsid w:val="07571DAC"/>
    <w:rsid w:val="07797C0B"/>
    <w:rsid w:val="077E4EA5"/>
    <w:rsid w:val="0790350F"/>
    <w:rsid w:val="07AB20F7"/>
    <w:rsid w:val="07CD4764"/>
    <w:rsid w:val="08590488"/>
    <w:rsid w:val="08760957"/>
    <w:rsid w:val="08803584"/>
    <w:rsid w:val="08AE1E9F"/>
    <w:rsid w:val="08DB07BA"/>
    <w:rsid w:val="08DD171B"/>
    <w:rsid w:val="08E64121"/>
    <w:rsid w:val="08EB4EA1"/>
    <w:rsid w:val="09036BB8"/>
    <w:rsid w:val="091066B6"/>
    <w:rsid w:val="0942017F"/>
    <w:rsid w:val="099F7A3A"/>
    <w:rsid w:val="09A36273"/>
    <w:rsid w:val="09BA1FBB"/>
    <w:rsid w:val="09CB139F"/>
    <w:rsid w:val="0A0106F5"/>
    <w:rsid w:val="0A112AB7"/>
    <w:rsid w:val="0A886720"/>
    <w:rsid w:val="0AAA504A"/>
    <w:rsid w:val="0ABB3229"/>
    <w:rsid w:val="0AD71BC7"/>
    <w:rsid w:val="0AF420EB"/>
    <w:rsid w:val="0B1B7594"/>
    <w:rsid w:val="0B2B2BF5"/>
    <w:rsid w:val="0B2F3908"/>
    <w:rsid w:val="0B3F6206"/>
    <w:rsid w:val="0B9C3F94"/>
    <w:rsid w:val="0BCF0AAA"/>
    <w:rsid w:val="0BE12DB6"/>
    <w:rsid w:val="0BFC6504"/>
    <w:rsid w:val="0C345AD1"/>
    <w:rsid w:val="0C626CE4"/>
    <w:rsid w:val="0C874EE1"/>
    <w:rsid w:val="0CBB2DDD"/>
    <w:rsid w:val="0D0C2B7B"/>
    <w:rsid w:val="0D103128"/>
    <w:rsid w:val="0D9308F8"/>
    <w:rsid w:val="0DE76C3D"/>
    <w:rsid w:val="0E083E00"/>
    <w:rsid w:val="0E1A1D85"/>
    <w:rsid w:val="0E214EC1"/>
    <w:rsid w:val="0E750568"/>
    <w:rsid w:val="0E8A111C"/>
    <w:rsid w:val="0E8F2773"/>
    <w:rsid w:val="0E9C3C97"/>
    <w:rsid w:val="0F2D7A80"/>
    <w:rsid w:val="0F4277E5"/>
    <w:rsid w:val="0F5F3EF3"/>
    <w:rsid w:val="0F7D25CB"/>
    <w:rsid w:val="0FA75561"/>
    <w:rsid w:val="0FB0474F"/>
    <w:rsid w:val="0FB83603"/>
    <w:rsid w:val="0FCA77F1"/>
    <w:rsid w:val="0FCD5DCC"/>
    <w:rsid w:val="10043197"/>
    <w:rsid w:val="101E1EA5"/>
    <w:rsid w:val="10270545"/>
    <w:rsid w:val="1032785A"/>
    <w:rsid w:val="103409DF"/>
    <w:rsid w:val="10513691"/>
    <w:rsid w:val="108A1D4B"/>
    <w:rsid w:val="10A10111"/>
    <w:rsid w:val="10BE093E"/>
    <w:rsid w:val="10E20BD8"/>
    <w:rsid w:val="111B0FE9"/>
    <w:rsid w:val="111E54BC"/>
    <w:rsid w:val="112C77F4"/>
    <w:rsid w:val="113D1B21"/>
    <w:rsid w:val="115F67A8"/>
    <w:rsid w:val="116339A6"/>
    <w:rsid w:val="11927FE9"/>
    <w:rsid w:val="119A7465"/>
    <w:rsid w:val="11BD3153"/>
    <w:rsid w:val="11C07DA5"/>
    <w:rsid w:val="11C2491E"/>
    <w:rsid w:val="11EC57E6"/>
    <w:rsid w:val="11F36B75"/>
    <w:rsid w:val="12174F59"/>
    <w:rsid w:val="12491386"/>
    <w:rsid w:val="12541D09"/>
    <w:rsid w:val="128807D2"/>
    <w:rsid w:val="12B30160"/>
    <w:rsid w:val="12B50F6F"/>
    <w:rsid w:val="12E60579"/>
    <w:rsid w:val="12EB0F02"/>
    <w:rsid w:val="131B2827"/>
    <w:rsid w:val="13355458"/>
    <w:rsid w:val="13695B36"/>
    <w:rsid w:val="1372609F"/>
    <w:rsid w:val="13D50C28"/>
    <w:rsid w:val="13D73572"/>
    <w:rsid w:val="13F217DA"/>
    <w:rsid w:val="1424395D"/>
    <w:rsid w:val="14302F5B"/>
    <w:rsid w:val="144363D4"/>
    <w:rsid w:val="14504752"/>
    <w:rsid w:val="145A6A37"/>
    <w:rsid w:val="14665D24"/>
    <w:rsid w:val="1467440F"/>
    <w:rsid w:val="148F0C4A"/>
    <w:rsid w:val="14B60A59"/>
    <w:rsid w:val="15400323"/>
    <w:rsid w:val="15433A9B"/>
    <w:rsid w:val="15787ABD"/>
    <w:rsid w:val="15AC59B8"/>
    <w:rsid w:val="15FC2F04"/>
    <w:rsid w:val="16181FAC"/>
    <w:rsid w:val="16781D3E"/>
    <w:rsid w:val="168756A0"/>
    <w:rsid w:val="168D3A3C"/>
    <w:rsid w:val="16DE4BFF"/>
    <w:rsid w:val="16E75D5E"/>
    <w:rsid w:val="16F94849"/>
    <w:rsid w:val="16FF13AD"/>
    <w:rsid w:val="17045E51"/>
    <w:rsid w:val="172011D4"/>
    <w:rsid w:val="17252C3B"/>
    <w:rsid w:val="173F0A2E"/>
    <w:rsid w:val="17770BC2"/>
    <w:rsid w:val="17860E2F"/>
    <w:rsid w:val="178D44B2"/>
    <w:rsid w:val="17A119AA"/>
    <w:rsid w:val="17E551B2"/>
    <w:rsid w:val="18181BB3"/>
    <w:rsid w:val="18586F2B"/>
    <w:rsid w:val="18B518DD"/>
    <w:rsid w:val="19266721"/>
    <w:rsid w:val="193D5052"/>
    <w:rsid w:val="19A4034B"/>
    <w:rsid w:val="19A766B9"/>
    <w:rsid w:val="19C31523"/>
    <w:rsid w:val="19CE76BA"/>
    <w:rsid w:val="19D11E91"/>
    <w:rsid w:val="19F26070"/>
    <w:rsid w:val="19F8541A"/>
    <w:rsid w:val="19F97C8B"/>
    <w:rsid w:val="1A1523CE"/>
    <w:rsid w:val="1A1E139B"/>
    <w:rsid w:val="1A3366A8"/>
    <w:rsid w:val="1A3B555D"/>
    <w:rsid w:val="1A6119E3"/>
    <w:rsid w:val="1AA730BD"/>
    <w:rsid w:val="1AE6196C"/>
    <w:rsid w:val="1B333D5D"/>
    <w:rsid w:val="1B587618"/>
    <w:rsid w:val="1B5F19C7"/>
    <w:rsid w:val="1B6B0FE4"/>
    <w:rsid w:val="1B774356"/>
    <w:rsid w:val="1B795BA4"/>
    <w:rsid w:val="1B8549D3"/>
    <w:rsid w:val="1C071B9A"/>
    <w:rsid w:val="1C1C709B"/>
    <w:rsid w:val="1C4F52EF"/>
    <w:rsid w:val="1C4F6795"/>
    <w:rsid w:val="1C8625C6"/>
    <w:rsid w:val="1C9F6814"/>
    <w:rsid w:val="1CA23671"/>
    <w:rsid w:val="1CE739C9"/>
    <w:rsid w:val="1CF70D48"/>
    <w:rsid w:val="1D2A7420"/>
    <w:rsid w:val="1D5C514E"/>
    <w:rsid w:val="1D865D14"/>
    <w:rsid w:val="1D8705EC"/>
    <w:rsid w:val="1DA67191"/>
    <w:rsid w:val="1DA90A2F"/>
    <w:rsid w:val="1DBC5610"/>
    <w:rsid w:val="1E43150B"/>
    <w:rsid w:val="1E4E3AB1"/>
    <w:rsid w:val="1E8E577C"/>
    <w:rsid w:val="1EA93E80"/>
    <w:rsid w:val="1ED33FB6"/>
    <w:rsid w:val="1EE81332"/>
    <w:rsid w:val="1EF5217E"/>
    <w:rsid w:val="1F122D30"/>
    <w:rsid w:val="1F32415A"/>
    <w:rsid w:val="1F542F9A"/>
    <w:rsid w:val="1F702632"/>
    <w:rsid w:val="1F7D1043"/>
    <w:rsid w:val="1F7E2174"/>
    <w:rsid w:val="1F882FF2"/>
    <w:rsid w:val="20107567"/>
    <w:rsid w:val="201F3D6B"/>
    <w:rsid w:val="205938D8"/>
    <w:rsid w:val="205C6834"/>
    <w:rsid w:val="20AB56C6"/>
    <w:rsid w:val="20CF7C34"/>
    <w:rsid w:val="21547789"/>
    <w:rsid w:val="2176507C"/>
    <w:rsid w:val="21BE35AF"/>
    <w:rsid w:val="21C11174"/>
    <w:rsid w:val="220D732D"/>
    <w:rsid w:val="22205764"/>
    <w:rsid w:val="22244B28"/>
    <w:rsid w:val="22467FD4"/>
    <w:rsid w:val="226A1E07"/>
    <w:rsid w:val="229451FD"/>
    <w:rsid w:val="22A12DB6"/>
    <w:rsid w:val="22CD4272"/>
    <w:rsid w:val="22E36792"/>
    <w:rsid w:val="230C7A96"/>
    <w:rsid w:val="236356D1"/>
    <w:rsid w:val="23A91C83"/>
    <w:rsid w:val="23BF2D5B"/>
    <w:rsid w:val="23C14D25"/>
    <w:rsid w:val="23C962E8"/>
    <w:rsid w:val="23F30C56"/>
    <w:rsid w:val="245B1ACF"/>
    <w:rsid w:val="246D6790"/>
    <w:rsid w:val="247E4FED"/>
    <w:rsid w:val="24AD52A9"/>
    <w:rsid w:val="24AD78E0"/>
    <w:rsid w:val="24B30BE8"/>
    <w:rsid w:val="24B959FC"/>
    <w:rsid w:val="24BB674A"/>
    <w:rsid w:val="24D665AE"/>
    <w:rsid w:val="24E34060"/>
    <w:rsid w:val="253A0491"/>
    <w:rsid w:val="25A61150"/>
    <w:rsid w:val="25B05051"/>
    <w:rsid w:val="25C10713"/>
    <w:rsid w:val="25E036B2"/>
    <w:rsid w:val="25E9082A"/>
    <w:rsid w:val="25F0480C"/>
    <w:rsid w:val="25F42473"/>
    <w:rsid w:val="26597496"/>
    <w:rsid w:val="26630315"/>
    <w:rsid w:val="26880594"/>
    <w:rsid w:val="26AF2D79"/>
    <w:rsid w:val="26B34B91"/>
    <w:rsid w:val="26D7660D"/>
    <w:rsid w:val="26FE1DEC"/>
    <w:rsid w:val="270D66E8"/>
    <w:rsid w:val="271460F5"/>
    <w:rsid w:val="27180043"/>
    <w:rsid w:val="27380592"/>
    <w:rsid w:val="27514612"/>
    <w:rsid w:val="278B0DAB"/>
    <w:rsid w:val="279C6B0E"/>
    <w:rsid w:val="27A64735"/>
    <w:rsid w:val="27AA7EDF"/>
    <w:rsid w:val="27CC4DF2"/>
    <w:rsid w:val="27FD384C"/>
    <w:rsid w:val="281864F2"/>
    <w:rsid w:val="282F658A"/>
    <w:rsid w:val="283F41FE"/>
    <w:rsid w:val="285C501C"/>
    <w:rsid w:val="285E218C"/>
    <w:rsid w:val="286903EF"/>
    <w:rsid w:val="287F5DD3"/>
    <w:rsid w:val="288047CB"/>
    <w:rsid w:val="28976054"/>
    <w:rsid w:val="289C366A"/>
    <w:rsid w:val="289E62FA"/>
    <w:rsid w:val="28CA629D"/>
    <w:rsid w:val="28FD6E90"/>
    <w:rsid w:val="291E2CA6"/>
    <w:rsid w:val="293143F3"/>
    <w:rsid w:val="29331862"/>
    <w:rsid w:val="293C4426"/>
    <w:rsid w:val="29453D02"/>
    <w:rsid w:val="299741EC"/>
    <w:rsid w:val="299E147F"/>
    <w:rsid w:val="29B91531"/>
    <w:rsid w:val="29C32A87"/>
    <w:rsid w:val="29CF26DC"/>
    <w:rsid w:val="29E70C6B"/>
    <w:rsid w:val="29EF2538"/>
    <w:rsid w:val="2A0151A8"/>
    <w:rsid w:val="2A1C5DA0"/>
    <w:rsid w:val="2A200D39"/>
    <w:rsid w:val="2A507EFF"/>
    <w:rsid w:val="2A832D34"/>
    <w:rsid w:val="2ADC05A4"/>
    <w:rsid w:val="2AEF2177"/>
    <w:rsid w:val="2AF855C0"/>
    <w:rsid w:val="2B2B6F28"/>
    <w:rsid w:val="2B2D2CA0"/>
    <w:rsid w:val="2B3B53BD"/>
    <w:rsid w:val="2B54647E"/>
    <w:rsid w:val="2B6F0D7F"/>
    <w:rsid w:val="2B8716BD"/>
    <w:rsid w:val="2B8B76FF"/>
    <w:rsid w:val="2BD5034F"/>
    <w:rsid w:val="2BFA123F"/>
    <w:rsid w:val="2C4A7EE1"/>
    <w:rsid w:val="2C4F1B9F"/>
    <w:rsid w:val="2C934D84"/>
    <w:rsid w:val="2C9D5F65"/>
    <w:rsid w:val="2D025012"/>
    <w:rsid w:val="2D12039F"/>
    <w:rsid w:val="2D355E3C"/>
    <w:rsid w:val="2D3725E1"/>
    <w:rsid w:val="2D4178F0"/>
    <w:rsid w:val="2DAE631A"/>
    <w:rsid w:val="2DD877E0"/>
    <w:rsid w:val="2DE616C9"/>
    <w:rsid w:val="2DFC2451"/>
    <w:rsid w:val="2E0917A2"/>
    <w:rsid w:val="2E0A551A"/>
    <w:rsid w:val="2E3422F8"/>
    <w:rsid w:val="2E383E35"/>
    <w:rsid w:val="2E530C6F"/>
    <w:rsid w:val="2E6E566D"/>
    <w:rsid w:val="2E7F188E"/>
    <w:rsid w:val="2E8F1410"/>
    <w:rsid w:val="2EA414CB"/>
    <w:rsid w:val="2EBC0905"/>
    <w:rsid w:val="2EC73739"/>
    <w:rsid w:val="2EFB1B0E"/>
    <w:rsid w:val="2F4B7B98"/>
    <w:rsid w:val="2F5C684F"/>
    <w:rsid w:val="2FA21EAE"/>
    <w:rsid w:val="300E30A0"/>
    <w:rsid w:val="3014442E"/>
    <w:rsid w:val="307776D1"/>
    <w:rsid w:val="30862574"/>
    <w:rsid w:val="30A30315"/>
    <w:rsid w:val="30B631E1"/>
    <w:rsid w:val="30D649C4"/>
    <w:rsid w:val="30F009F7"/>
    <w:rsid w:val="311933AA"/>
    <w:rsid w:val="3135465C"/>
    <w:rsid w:val="317D15BB"/>
    <w:rsid w:val="31CF76F3"/>
    <w:rsid w:val="31D07E6C"/>
    <w:rsid w:val="31DA51AD"/>
    <w:rsid w:val="31F167D5"/>
    <w:rsid w:val="322C6574"/>
    <w:rsid w:val="323F65DA"/>
    <w:rsid w:val="32412074"/>
    <w:rsid w:val="32515B4E"/>
    <w:rsid w:val="32BB6DE3"/>
    <w:rsid w:val="32DE0199"/>
    <w:rsid w:val="333C2963"/>
    <w:rsid w:val="3352350B"/>
    <w:rsid w:val="335A4D82"/>
    <w:rsid w:val="335B2774"/>
    <w:rsid w:val="33613647"/>
    <w:rsid w:val="33A4642E"/>
    <w:rsid w:val="33C63C91"/>
    <w:rsid w:val="33D10FB5"/>
    <w:rsid w:val="33D4039C"/>
    <w:rsid w:val="33D47E05"/>
    <w:rsid w:val="3413677D"/>
    <w:rsid w:val="34232E92"/>
    <w:rsid w:val="342B544B"/>
    <w:rsid w:val="345E036E"/>
    <w:rsid w:val="346911EC"/>
    <w:rsid w:val="34713838"/>
    <w:rsid w:val="34C47852"/>
    <w:rsid w:val="34D81ECE"/>
    <w:rsid w:val="34DE1E4F"/>
    <w:rsid w:val="34F07DB1"/>
    <w:rsid w:val="354D5BFB"/>
    <w:rsid w:val="35647C06"/>
    <w:rsid w:val="358523A3"/>
    <w:rsid w:val="359009FB"/>
    <w:rsid w:val="35A866C4"/>
    <w:rsid w:val="35A87466"/>
    <w:rsid w:val="35BF4E3C"/>
    <w:rsid w:val="35D354B8"/>
    <w:rsid w:val="35D4025C"/>
    <w:rsid w:val="35D408E8"/>
    <w:rsid w:val="362666BC"/>
    <w:rsid w:val="36513CE6"/>
    <w:rsid w:val="36681030"/>
    <w:rsid w:val="368A6B11"/>
    <w:rsid w:val="36BE6EA2"/>
    <w:rsid w:val="37052D23"/>
    <w:rsid w:val="37085B1F"/>
    <w:rsid w:val="372E04CB"/>
    <w:rsid w:val="375F2433"/>
    <w:rsid w:val="379A7F64"/>
    <w:rsid w:val="37A329DC"/>
    <w:rsid w:val="37C4673A"/>
    <w:rsid w:val="386C12AB"/>
    <w:rsid w:val="389B393F"/>
    <w:rsid w:val="38E070F2"/>
    <w:rsid w:val="390D33AB"/>
    <w:rsid w:val="391E6D06"/>
    <w:rsid w:val="39406294"/>
    <w:rsid w:val="39CA4CB2"/>
    <w:rsid w:val="39DE54F4"/>
    <w:rsid w:val="3A074847"/>
    <w:rsid w:val="3A371445"/>
    <w:rsid w:val="3A704957"/>
    <w:rsid w:val="3A830B2E"/>
    <w:rsid w:val="3AA90FE6"/>
    <w:rsid w:val="3AA9318F"/>
    <w:rsid w:val="3AB62DA0"/>
    <w:rsid w:val="3B0A330F"/>
    <w:rsid w:val="3B196D9D"/>
    <w:rsid w:val="3B351E28"/>
    <w:rsid w:val="3B427E5C"/>
    <w:rsid w:val="3B585B17"/>
    <w:rsid w:val="3B7D3FD5"/>
    <w:rsid w:val="3B823DDF"/>
    <w:rsid w:val="3B84690C"/>
    <w:rsid w:val="3B914B85"/>
    <w:rsid w:val="3B9B59E2"/>
    <w:rsid w:val="3BA40D5C"/>
    <w:rsid w:val="3BD827B4"/>
    <w:rsid w:val="3BE707EB"/>
    <w:rsid w:val="3C237ED3"/>
    <w:rsid w:val="3CAA596A"/>
    <w:rsid w:val="3CAF1D22"/>
    <w:rsid w:val="3CB1587B"/>
    <w:rsid w:val="3CB735F2"/>
    <w:rsid w:val="3D186684"/>
    <w:rsid w:val="3D363C36"/>
    <w:rsid w:val="3D477BF1"/>
    <w:rsid w:val="3D58310C"/>
    <w:rsid w:val="3D670293"/>
    <w:rsid w:val="3D6C08E2"/>
    <w:rsid w:val="3D7309E6"/>
    <w:rsid w:val="3D8B2178"/>
    <w:rsid w:val="3DAE1A1E"/>
    <w:rsid w:val="3DB34909"/>
    <w:rsid w:val="3DD115F5"/>
    <w:rsid w:val="3DE435F0"/>
    <w:rsid w:val="3DE5122C"/>
    <w:rsid w:val="3DF37E53"/>
    <w:rsid w:val="3E380B54"/>
    <w:rsid w:val="3E424EE0"/>
    <w:rsid w:val="3E605F29"/>
    <w:rsid w:val="3E6A1205"/>
    <w:rsid w:val="3E740EBA"/>
    <w:rsid w:val="3EC86B10"/>
    <w:rsid w:val="3ED26DE9"/>
    <w:rsid w:val="3EED17D0"/>
    <w:rsid w:val="3F093CDD"/>
    <w:rsid w:val="3F0C0304"/>
    <w:rsid w:val="3F774839"/>
    <w:rsid w:val="3F7F3659"/>
    <w:rsid w:val="3F8A0269"/>
    <w:rsid w:val="3F9B06C8"/>
    <w:rsid w:val="3FA806EF"/>
    <w:rsid w:val="3FEC147E"/>
    <w:rsid w:val="3FFD2F68"/>
    <w:rsid w:val="40152228"/>
    <w:rsid w:val="40376375"/>
    <w:rsid w:val="4051112F"/>
    <w:rsid w:val="40A54167"/>
    <w:rsid w:val="40AB66E9"/>
    <w:rsid w:val="40D6427E"/>
    <w:rsid w:val="40D70587"/>
    <w:rsid w:val="412732B7"/>
    <w:rsid w:val="4127791F"/>
    <w:rsid w:val="41281794"/>
    <w:rsid w:val="413C1FDF"/>
    <w:rsid w:val="4151103E"/>
    <w:rsid w:val="416D399E"/>
    <w:rsid w:val="417A65A3"/>
    <w:rsid w:val="41806A69"/>
    <w:rsid w:val="418C651A"/>
    <w:rsid w:val="41B0259C"/>
    <w:rsid w:val="41B16D79"/>
    <w:rsid w:val="41BC6F1C"/>
    <w:rsid w:val="41EF2363"/>
    <w:rsid w:val="41F45E52"/>
    <w:rsid w:val="41F77860"/>
    <w:rsid w:val="42100EF9"/>
    <w:rsid w:val="42134546"/>
    <w:rsid w:val="424A4B98"/>
    <w:rsid w:val="42581D3A"/>
    <w:rsid w:val="427E2307"/>
    <w:rsid w:val="42815E81"/>
    <w:rsid w:val="42A653BA"/>
    <w:rsid w:val="42D31F27"/>
    <w:rsid w:val="42DA5063"/>
    <w:rsid w:val="42ED2EA4"/>
    <w:rsid w:val="42F6649D"/>
    <w:rsid w:val="42FE0080"/>
    <w:rsid w:val="43100A85"/>
    <w:rsid w:val="43315D2E"/>
    <w:rsid w:val="43670C99"/>
    <w:rsid w:val="43824A1C"/>
    <w:rsid w:val="43993170"/>
    <w:rsid w:val="43D110E1"/>
    <w:rsid w:val="43E873C9"/>
    <w:rsid w:val="43F00151"/>
    <w:rsid w:val="43FE2FD4"/>
    <w:rsid w:val="4469669F"/>
    <w:rsid w:val="44905B1F"/>
    <w:rsid w:val="44A85002"/>
    <w:rsid w:val="4508410A"/>
    <w:rsid w:val="45316885"/>
    <w:rsid w:val="456F077F"/>
    <w:rsid w:val="45840F01"/>
    <w:rsid w:val="45A95EE9"/>
    <w:rsid w:val="45DC1C5F"/>
    <w:rsid w:val="45FB0F21"/>
    <w:rsid w:val="46020B59"/>
    <w:rsid w:val="46167166"/>
    <w:rsid w:val="4636719A"/>
    <w:rsid w:val="464A0752"/>
    <w:rsid w:val="46DC2BD2"/>
    <w:rsid w:val="47200EE3"/>
    <w:rsid w:val="47435AC2"/>
    <w:rsid w:val="47544B78"/>
    <w:rsid w:val="47587AF7"/>
    <w:rsid w:val="47745A86"/>
    <w:rsid w:val="477B2160"/>
    <w:rsid w:val="479B1265"/>
    <w:rsid w:val="47BC11DC"/>
    <w:rsid w:val="47CB7671"/>
    <w:rsid w:val="47E239AC"/>
    <w:rsid w:val="47E32C0C"/>
    <w:rsid w:val="47F72214"/>
    <w:rsid w:val="480F4B73"/>
    <w:rsid w:val="48126351"/>
    <w:rsid w:val="48253782"/>
    <w:rsid w:val="48435459"/>
    <w:rsid w:val="48741AB6"/>
    <w:rsid w:val="487B2624"/>
    <w:rsid w:val="48B14AB8"/>
    <w:rsid w:val="48C52312"/>
    <w:rsid w:val="48DB1B35"/>
    <w:rsid w:val="48DB38E3"/>
    <w:rsid w:val="48F826E7"/>
    <w:rsid w:val="49001B5E"/>
    <w:rsid w:val="491B1FA1"/>
    <w:rsid w:val="49376DB0"/>
    <w:rsid w:val="49535B70"/>
    <w:rsid w:val="496271AF"/>
    <w:rsid w:val="49804BB7"/>
    <w:rsid w:val="49826DCB"/>
    <w:rsid w:val="499013E7"/>
    <w:rsid w:val="499855AA"/>
    <w:rsid w:val="49C8088A"/>
    <w:rsid w:val="4A301C93"/>
    <w:rsid w:val="4A3302AB"/>
    <w:rsid w:val="4A3749D0"/>
    <w:rsid w:val="4A7B537E"/>
    <w:rsid w:val="4A834E68"/>
    <w:rsid w:val="4AC85D49"/>
    <w:rsid w:val="4AE308A9"/>
    <w:rsid w:val="4B1F3F5B"/>
    <w:rsid w:val="4B260F2D"/>
    <w:rsid w:val="4B2E23F0"/>
    <w:rsid w:val="4B2E418D"/>
    <w:rsid w:val="4B4F20F9"/>
    <w:rsid w:val="4B9A1456"/>
    <w:rsid w:val="4BA32C82"/>
    <w:rsid w:val="4BC8539A"/>
    <w:rsid w:val="4BD022FD"/>
    <w:rsid w:val="4BE70627"/>
    <w:rsid w:val="4C0A5AE1"/>
    <w:rsid w:val="4C130AB8"/>
    <w:rsid w:val="4C393C27"/>
    <w:rsid w:val="4C5A284D"/>
    <w:rsid w:val="4C5C0673"/>
    <w:rsid w:val="4C8A6423"/>
    <w:rsid w:val="4CB96B43"/>
    <w:rsid w:val="4CC410A6"/>
    <w:rsid w:val="4CC75FCC"/>
    <w:rsid w:val="4CC87A5E"/>
    <w:rsid w:val="4CD63947"/>
    <w:rsid w:val="4CFC49F4"/>
    <w:rsid w:val="4D073D73"/>
    <w:rsid w:val="4D1B69A4"/>
    <w:rsid w:val="4D1E27BA"/>
    <w:rsid w:val="4D23574A"/>
    <w:rsid w:val="4D4C4DB0"/>
    <w:rsid w:val="4D700A9E"/>
    <w:rsid w:val="4D7322D5"/>
    <w:rsid w:val="4DA93FB0"/>
    <w:rsid w:val="4DB837D6"/>
    <w:rsid w:val="4DD44293"/>
    <w:rsid w:val="4DD7034C"/>
    <w:rsid w:val="4DE312CB"/>
    <w:rsid w:val="4DF5318E"/>
    <w:rsid w:val="4E1F4862"/>
    <w:rsid w:val="4E2E4393"/>
    <w:rsid w:val="4E35690B"/>
    <w:rsid w:val="4E535EF2"/>
    <w:rsid w:val="4F08773C"/>
    <w:rsid w:val="4F1638C7"/>
    <w:rsid w:val="4F31409F"/>
    <w:rsid w:val="4F443F90"/>
    <w:rsid w:val="4F5E670E"/>
    <w:rsid w:val="4F846A83"/>
    <w:rsid w:val="4F895E47"/>
    <w:rsid w:val="4F896D48"/>
    <w:rsid w:val="4FC0482A"/>
    <w:rsid w:val="4FF9121F"/>
    <w:rsid w:val="4FFF6109"/>
    <w:rsid w:val="50070E2C"/>
    <w:rsid w:val="501112F3"/>
    <w:rsid w:val="504B57F2"/>
    <w:rsid w:val="505162C9"/>
    <w:rsid w:val="507619E1"/>
    <w:rsid w:val="507B3E81"/>
    <w:rsid w:val="50C62BC7"/>
    <w:rsid w:val="50CF01D2"/>
    <w:rsid w:val="50F72A66"/>
    <w:rsid w:val="5123368C"/>
    <w:rsid w:val="5130747C"/>
    <w:rsid w:val="5140163F"/>
    <w:rsid w:val="515C765A"/>
    <w:rsid w:val="515D00F2"/>
    <w:rsid w:val="51705511"/>
    <w:rsid w:val="518A40F8"/>
    <w:rsid w:val="51905BB3"/>
    <w:rsid w:val="51946FCB"/>
    <w:rsid w:val="51DD796B"/>
    <w:rsid w:val="51DF373B"/>
    <w:rsid w:val="51E95740"/>
    <w:rsid w:val="51EB2DE9"/>
    <w:rsid w:val="52632790"/>
    <w:rsid w:val="52795312"/>
    <w:rsid w:val="52D970E6"/>
    <w:rsid w:val="52EF4CB5"/>
    <w:rsid w:val="52F959F0"/>
    <w:rsid w:val="52FB705C"/>
    <w:rsid w:val="5302488E"/>
    <w:rsid w:val="53136173"/>
    <w:rsid w:val="534B12B7"/>
    <w:rsid w:val="539A4AC7"/>
    <w:rsid w:val="541A085B"/>
    <w:rsid w:val="541D1254"/>
    <w:rsid w:val="542631B6"/>
    <w:rsid w:val="54295E4B"/>
    <w:rsid w:val="5447483C"/>
    <w:rsid w:val="544E58B1"/>
    <w:rsid w:val="5458228C"/>
    <w:rsid w:val="54785EAD"/>
    <w:rsid w:val="54942CAE"/>
    <w:rsid w:val="549C03CB"/>
    <w:rsid w:val="54A61722"/>
    <w:rsid w:val="54B31FAF"/>
    <w:rsid w:val="54E0475B"/>
    <w:rsid w:val="55326D63"/>
    <w:rsid w:val="555D1A10"/>
    <w:rsid w:val="55B03304"/>
    <w:rsid w:val="56356D29"/>
    <w:rsid w:val="563B3C13"/>
    <w:rsid w:val="568455BA"/>
    <w:rsid w:val="56A20EA8"/>
    <w:rsid w:val="56A65531"/>
    <w:rsid w:val="56AC4A78"/>
    <w:rsid w:val="56B539C6"/>
    <w:rsid w:val="56DB16B9"/>
    <w:rsid w:val="570A3D11"/>
    <w:rsid w:val="57293D77"/>
    <w:rsid w:val="577A3463"/>
    <w:rsid w:val="57C77E54"/>
    <w:rsid w:val="57D00325"/>
    <w:rsid w:val="57E36310"/>
    <w:rsid w:val="57F967AD"/>
    <w:rsid w:val="58052975"/>
    <w:rsid w:val="584D1A65"/>
    <w:rsid w:val="584F5C44"/>
    <w:rsid w:val="587130A7"/>
    <w:rsid w:val="587D0513"/>
    <w:rsid w:val="588C0756"/>
    <w:rsid w:val="589D58CA"/>
    <w:rsid w:val="58E525CA"/>
    <w:rsid w:val="593D045A"/>
    <w:rsid w:val="595C5D13"/>
    <w:rsid w:val="5960739E"/>
    <w:rsid w:val="596D44F1"/>
    <w:rsid w:val="59896D0A"/>
    <w:rsid w:val="59AC5554"/>
    <w:rsid w:val="59AC7302"/>
    <w:rsid w:val="59B72684"/>
    <w:rsid w:val="59E0527F"/>
    <w:rsid w:val="5A0D59FE"/>
    <w:rsid w:val="5A2329C6"/>
    <w:rsid w:val="5A386DE8"/>
    <w:rsid w:val="5A421A14"/>
    <w:rsid w:val="5A9579AE"/>
    <w:rsid w:val="5AC468CD"/>
    <w:rsid w:val="5B342B9A"/>
    <w:rsid w:val="5B4377F2"/>
    <w:rsid w:val="5B5953B0"/>
    <w:rsid w:val="5B5F03A4"/>
    <w:rsid w:val="5B630802"/>
    <w:rsid w:val="5B644229"/>
    <w:rsid w:val="5B807F68"/>
    <w:rsid w:val="5B834092"/>
    <w:rsid w:val="5BA72CE5"/>
    <w:rsid w:val="5BF0069B"/>
    <w:rsid w:val="5C034D53"/>
    <w:rsid w:val="5C1765AF"/>
    <w:rsid w:val="5C757E7F"/>
    <w:rsid w:val="5D2C0C74"/>
    <w:rsid w:val="5D2C615D"/>
    <w:rsid w:val="5D635F29"/>
    <w:rsid w:val="5D6F018D"/>
    <w:rsid w:val="5DAA158A"/>
    <w:rsid w:val="5E1D6F56"/>
    <w:rsid w:val="5E4D2736"/>
    <w:rsid w:val="5E52187F"/>
    <w:rsid w:val="5E5F0DE7"/>
    <w:rsid w:val="5E6A13CD"/>
    <w:rsid w:val="5E705D15"/>
    <w:rsid w:val="5E93326C"/>
    <w:rsid w:val="5E9F1A7A"/>
    <w:rsid w:val="5EFB4BA4"/>
    <w:rsid w:val="5EFD389C"/>
    <w:rsid w:val="5F025452"/>
    <w:rsid w:val="5F490D33"/>
    <w:rsid w:val="5F5426EE"/>
    <w:rsid w:val="5F5F46B5"/>
    <w:rsid w:val="5F773F0E"/>
    <w:rsid w:val="5FB25360"/>
    <w:rsid w:val="5FBA3CC0"/>
    <w:rsid w:val="5FD90D61"/>
    <w:rsid w:val="60177697"/>
    <w:rsid w:val="602329DB"/>
    <w:rsid w:val="602A0F80"/>
    <w:rsid w:val="607777D6"/>
    <w:rsid w:val="60A26D69"/>
    <w:rsid w:val="60BC76A1"/>
    <w:rsid w:val="60D50B5B"/>
    <w:rsid w:val="610B7637"/>
    <w:rsid w:val="612279BA"/>
    <w:rsid w:val="615F5624"/>
    <w:rsid w:val="61C25AC1"/>
    <w:rsid w:val="61D215CF"/>
    <w:rsid w:val="625C563D"/>
    <w:rsid w:val="626A1704"/>
    <w:rsid w:val="627921C2"/>
    <w:rsid w:val="62A50D92"/>
    <w:rsid w:val="62B362C8"/>
    <w:rsid w:val="62B64D4D"/>
    <w:rsid w:val="62C1330E"/>
    <w:rsid w:val="62DD22DA"/>
    <w:rsid w:val="6342085E"/>
    <w:rsid w:val="636F415C"/>
    <w:rsid w:val="63732C3E"/>
    <w:rsid w:val="639037F0"/>
    <w:rsid w:val="640146EE"/>
    <w:rsid w:val="64491C09"/>
    <w:rsid w:val="644F33DD"/>
    <w:rsid w:val="646126CB"/>
    <w:rsid w:val="648B3FB8"/>
    <w:rsid w:val="64917820"/>
    <w:rsid w:val="64AA1CC5"/>
    <w:rsid w:val="64B74857"/>
    <w:rsid w:val="64DA18C8"/>
    <w:rsid w:val="65043CE2"/>
    <w:rsid w:val="6528341F"/>
    <w:rsid w:val="652A557F"/>
    <w:rsid w:val="656B2909"/>
    <w:rsid w:val="65A3045D"/>
    <w:rsid w:val="65D97752"/>
    <w:rsid w:val="65E25E59"/>
    <w:rsid w:val="65F242EE"/>
    <w:rsid w:val="65FC516D"/>
    <w:rsid w:val="661E50E3"/>
    <w:rsid w:val="662D3578"/>
    <w:rsid w:val="662D5327"/>
    <w:rsid w:val="66307F76"/>
    <w:rsid w:val="66580EAF"/>
    <w:rsid w:val="66694D0D"/>
    <w:rsid w:val="667B4472"/>
    <w:rsid w:val="667C7BBB"/>
    <w:rsid w:val="6692787F"/>
    <w:rsid w:val="66F041A8"/>
    <w:rsid w:val="67002A3B"/>
    <w:rsid w:val="670C7632"/>
    <w:rsid w:val="6721178A"/>
    <w:rsid w:val="6739399A"/>
    <w:rsid w:val="673F39DE"/>
    <w:rsid w:val="674C5D22"/>
    <w:rsid w:val="67663AF8"/>
    <w:rsid w:val="67762CFD"/>
    <w:rsid w:val="677A678D"/>
    <w:rsid w:val="679847C2"/>
    <w:rsid w:val="679876F1"/>
    <w:rsid w:val="67B71C9E"/>
    <w:rsid w:val="67CF7349"/>
    <w:rsid w:val="67DF08A2"/>
    <w:rsid w:val="67E75936"/>
    <w:rsid w:val="67F02AB0"/>
    <w:rsid w:val="68011379"/>
    <w:rsid w:val="68032ACC"/>
    <w:rsid w:val="68252C37"/>
    <w:rsid w:val="68694610"/>
    <w:rsid w:val="687C07E7"/>
    <w:rsid w:val="68817BAC"/>
    <w:rsid w:val="689A5E59"/>
    <w:rsid w:val="68A11FFC"/>
    <w:rsid w:val="68A13DAA"/>
    <w:rsid w:val="68A94E70"/>
    <w:rsid w:val="68CA77A4"/>
    <w:rsid w:val="68EE72DF"/>
    <w:rsid w:val="68FB170C"/>
    <w:rsid w:val="69450BD9"/>
    <w:rsid w:val="69485FEA"/>
    <w:rsid w:val="69677DC0"/>
    <w:rsid w:val="697D0373"/>
    <w:rsid w:val="698D309A"/>
    <w:rsid w:val="69937EC7"/>
    <w:rsid w:val="699833FF"/>
    <w:rsid w:val="69C04704"/>
    <w:rsid w:val="69D64558"/>
    <w:rsid w:val="69E77473"/>
    <w:rsid w:val="6A042548"/>
    <w:rsid w:val="6A0C16F7"/>
    <w:rsid w:val="6A471EFD"/>
    <w:rsid w:val="6A4E1D0F"/>
    <w:rsid w:val="6A7E2C0A"/>
    <w:rsid w:val="6AAA163C"/>
    <w:rsid w:val="6AB57116"/>
    <w:rsid w:val="6AC96B77"/>
    <w:rsid w:val="6AD541DF"/>
    <w:rsid w:val="6AED6375"/>
    <w:rsid w:val="6B17424A"/>
    <w:rsid w:val="6B2218FA"/>
    <w:rsid w:val="6B686C59"/>
    <w:rsid w:val="6B691672"/>
    <w:rsid w:val="6B91384B"/>
    <w:rsid w:val="6BB401EB"/>
    <w:rsid w:val="6BE97F42"/>
    <w:rsid w:val="6BEE7306"/>
    <w:rsid w:val="6BF07522"/>
    <w:rsid w:val="6C3F3CAC"/>
    <w:rsid w:val="6C417D7E"/>
    <w:rsid w:val="6C517895"/>
    <w:rsid w:val="6C5528BD"/>
    <w:rsid w:val="6C5E6A51"/>
    <w:rsid w:val="6C6513C3"/>
    <w:rsid w:val="6C744268"/>
    <w:rsid w:val="6C8E2897"/>
    <w:rsid w:val="6C913746"/>
    <w:rsid w:val="6CB00A5F"/>
    <w:rsid w:val="6CD62D03"/>
    <w:rsid w:val="6CD97FB6"/>
    <w:rsid w:val="6CE1330F"/>
    <w:rsid w:val="6D0E5050"/>
    <w:rsid w:val="6D1C19EE"/>
    <w:rsid w:val="6D4B22B8"/>
    <w:rsid w:val="6D5C2995"/>
    <w:rsid w:val="6D930013"/>
    <w:rsid w:val="6E1A1656"/>
    <w:rsid w:val="6E231DD6"/>
    <w:rsid w:val="6E2A4841"/>
    <w:rsid w:val="6E3F2AAB"/>
    <w:rsid w:val="6E5518BE"/>
    <w:rsid w:val="6E5A5288"/>
    <w:rsid w:val="6E616BF4"/>
    <w:rsid w:val="6E777A87"/>
    <w:rsid w:val="6E9F108C"/>
    <w:rsid w:val="6EE013EE"/>
    <w:rsid w:val="6EE079F1"/>
    <w:rsid w:val="6EE42C42"/>
    <w:rsid w:val="6EF56BFD"/>
    <w:rsid w:val="6F052E4D"/>
    <w:rsid w:val="6F0F08A5"/>
    <w:rsid w:val="6F437969"/>
    <w:rsid w:val="6F7F7CB0"/>
    <w:rsid w:val="6F8D6E36"/>
    <w:rsid w:val="6FA052B9"/>
    <w:rsid w:val="6FB70357"/>
    <w:rsid w:val="6FB95E7D"/>
    <w:rsid w:val="6FD809F9"/>
    <w:rsid w:val="6FE0165C"/>
    <w:rsid w:val="6FE10C44"/>
    <w:rsid w:val="70026FB8"/>
    <w:rsid w:val="70222744"/>
    <w:rsid w:val="705362D1"/>
    <w:rsid w:val="706D25DF"/>
    <w:rsid w:val="706D2B21"/>
    <w:rsid w:val="707B1384"/>
    <w:rsid w:val="70857A34"/>
    <w:rsid w:val="70985D3C"/>
    <w:rsid w:val="71047C73"/>
    <w:rsid w:val="7109004F"/>
    <w:rsid w:val="71103167"/>
    <w:rsid w:val="71160C93"/>
    <w:rsid w:val="712A02C5"/>
    <w:rsid w:val="712E56F7"/>
    <w:rsid w:val="71691ABB"/>
    <w:rsid w:val="71754026"/>
    <w:rsid w:val="71801BFB"/>
    <w:rsid w:val="71AA1F21"/>
    <w:rsid w:val="71AE1AEA"/>
    <w:rsid w:val="71B41A63"/>
    <w:rsid w:val="71CF3B6C"/>
    <w:rsid w:val="71F80F33"/>
    <w:rsid w:val="7205184D"/>
    <w:rsid w:val="722922C6"/>
    <w:rsid w:val="72477770"/>
    <w:rsid w:val="72AE3C93"/>
    <w:rsid w:val="72B8066E"/>
    <w:rsid w:val="72B9542A"/>
    <w:rsid w:val="72CB03A1"/>
    <w:rsid w:val="73012015"/>
    <w:rsid w:val="731E3BC5"/>
    <w:rsid w:val="732D4B5D"/>
    <w:rsid w:val="73342900"/>
    <w:rsid w:val="73353292"/>
    <w:rsid w:val="73393C88"/>
    <w:rsid w:val="733E6DC5"/>
    <w:rsid w:val="735B02C3"/>
    <w:rsid w:val="7362513F"/>
    <w:rsid w:val="73771D49"/>
    <w:rsid w:val="73A1354E"/>
    <w:rsid w:val="73CD1EF7"/>
    <w:rsid w:val="740F0761"/>
    <w:rsid w:val="74277859"/>
    <w:rsid w:val="74357964"/>
    <w:rsid w:val="746E5488"/>
    <w:rsid w:val="74811765"/>
    <w:rsid w:val="749E3893"/>
    <w:rsid w:val="74A11E7D"/>
    <w:rsid w:val="74DD6078"/>
    <w:rsid w:val="750F6CB7"/>
    <w:rsid w:val="75590B0A"/>
    <w:rsid w:val="7582279F"/>
    <w:rsid w:val="75843EB5"/>
    <w:rsid w:val="75BB71AF"/>
    <w:rsid w:val="75D27C98"/>
    <w:rsid w:val="75EB18CD"/>
    <w:rsid w:val="75F01962"/>
    <w:rsid w:val="760E19DF"/>
    <w:rsid w:val="761D557D"/>
    <w:rsid w:val="76557F3E"/>
    <w:rsid w:val="76676A53"/>
    <w:rsid w:val="76A3294D"/>
    <w:rsid w:val="76B620A1"/>
    <w:rsid w:val="76F20814"/>
    <w:rsid w:val="77091498"/>
    <w:rsid w:val="77462524"/>
    <w:rsid w:val="77860D3A"/>
    <w:rsid w:val="77892AD7"/>
    <w:rsid w:val="779A6594"/>
    <w:rsid w:val="77A113FB"/>
    <w:rsid w:val="77A21064"/>
    <w:rsid w:val="77E34EB2"/>
    <w:rsid w:val="781564B8"/>
    <w:rsid w:val="78202F3D"/>
    <w:rsid w:val="78224ACF"/>
    <w:rsid w:val="7825297D"/>
    <w:rsid w:val="7840538D"/>
    <w:rsid w:val="78970A00"/>
    <w:rsid w:val="78BD078C"/>
    <w:rsid w:val="78CD6DCC"/>
    <w:rsid w:val="78D07CAF"/>
    <w:rsid w:val="78DE12D7"/>
    <w:rsid w:val="78E977D3"/>
    <w:rsid w:val="79074E05"/>
    <w:rsid w:val="790811D4"/>
    <w:rsid w:val="79210683"/>
    <w:rsid w:val="794964C4"/>
    <w:rsid w:val="79651313"/>
    <w:rsid w:val="7972370D"/>
    <w:rsid w:val="799C3465"/>
    <w:rsid w:val="79A03E0B"/>
    <w:rsid w:val="79B14EC4"/>
    <w:rsid w:val="79DD1288"/>
    <w:rsid w:val="79F42944"/>
    <w:rsid w:val="7A2A6B4A"/>
    <w:rsid w:val="7A3C1B84"/>
    <w:rsid w:val="7A681070"/>
    <w:rsid w:val="7A7A6828"/>
    <w:rsid w:val="7A860C7C"/>
    <w:rsid w:val="7AB879FE"/>
    <w:rsid w:val="7B22521E"/>
    <w:rsid w:val="7B3264DD"/>
    <w:rsid w:val="7B5D0004"/>
    <w:rsid w:val="7B7B25D9"/>
    <w:rsid w:val="7B81188A"/>
    <w:rsid w:val="7B9E2902"/>
    <w:rsid w:val="7BAE6AB2"/>
    <w:rsid w:val="7BC854E2"/>
    <w:rsid w:val="7BE2675B"/>
    <w:rsid w:val="7C0562EC"/>
    <w:rsid w:val="7C067A45"/>
    <w:rsid w:val="7C1D1542"/>
    <w:rsid w:val="7C27683F"/>
    <w:rsid w:val="7C4E2339"/>
    <w:rsid w:val="7C763BEE"/>
    <w:rsid w:val="7CB14B4D"/>
    <w:rsid w:val="7CB41EA6"/>
    <w:rsid w:val="7CF26969"/>
    <w:rsid w:val="7CF75832"/>
    <w:rsid w:val="7D25523C"/>
    <w:rsid w:val="7D697134"/>
    <w:rsid w:val="7DB23041"/>
    <w:rsid w:val="7DB54128"/>
    <w:rsid w:val="7E0E3838"/>
    <w:rsid w:val="7E577FCC"/>
    <w:rsid w:val="7E5F7809"/>
    <w:rsid w:val="7E6E7AAC"/>
    <w:rsid w:val="7E8E417B"/>
    <w:rsid w:val="7ED56C53"/>
    <w:rsid w:val="7EE509FB"/>
    <w:rsid w:val="7EEA1BAF"/>
    <w:rsid w:val="7F006EDF"/>
    <w:rsid w:val="7F3855F3"/>
    <w:rsid w:val="7F397F86"/>
    <w:rsid w:val="7F5460D4"/>
    <w:rsid w:val="7F552892"/>
    <w:rsid w:val="7F8C2C66"/>
    <w:rsid w:val="7F945FBF"/>
    <w:rsid w:val="7FCA735A"/>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9"/>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2"/>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3"/>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1"/>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4"/>
    <w:qFormat/>
    <w:uiPriority w:val="99"/>
    <w:rPr>
      <w:rFonts w:ascii="宋体" w:hAnsi="Courier New"/>
    </w:rPr>
  </w:style>
  <w:style w:type="paragraph" w:styleId="18">
    <w:name w:val="List Bullet 5"/>
    <w:basedOn w:val="1"/>
    <w:unhideWhenUsed/>
    <w:qFormat/>
    <w:uiPriority w:val="99"/>
    <w:pPr>
      <w:numPr>
        <w:ilvl w:val="0"/>
        <w:numId w:val="1"/>
      </w:numPr>
    </w:p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99"/>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5"/>
    <w:qFormat/>
    <w:uiPriority w:val="0"/>
    <w:pPr>
      <w:spacing w:after="120"/>
      <w:ind w:left="420" w:leftChars="200"/>
    </w:pPr>
    <w:rPr>
      <w:sz w:val="16"/>
    </w:rPr>
  </w:style>
  <w:style w:type="paragraph" w:styleId="30">
    <w:name w:val="index 9"/>
    <w:basedOn w:val="1"/>
    <w:next w:val="1"/>
    <w:unhideWhenUsed/>
    <w:qFormat/>
    <w:uiPriority w:val="0"/>
    <w:pPr>
      <w:ind w:left="2520" w:hanging="280"/>
    </w:pPr>
    <w:rPr>
      <w:rFonts w:eastAsia="仿宋"/>
      <w:sz w:val="28"/>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0"/>
    <w:next w:val="10"/>
    <w:link w:val="54"/>
    <w:qFormat/>
    <w:uiPriority w:val="0"/>
    <w:rPr>
      <w:b/>
    </w:rPr>
  </w:style>
  <w:style w:type="paragraph" w:styleId="37">
    <w:name w:val="Body Text First Indent 2"/>
    <w:basedOn w:val="13"/>
    <w:semiHidden/>
    <w:qFormat/>
    <w:uiPriority w:val="99"/>
    <w:pPr>
      <w:spacing w:line="276" w:lineRule="auto"/>
      <w:ind w:firstLine="420" w:firstLineChars="200"/>
      <w:jc w:val="left"/>
    </w:pPr>
  </w:style>
  <w:style w:type="table" w:styleId="39">
    <w:name w:val="Table Grid"/>
    <w:basedOn w:val="3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paragraph" w:customStyle="1" w:styleId="48">
    <w:name w:val="首行缩进"/>
    <w:basedOn w:val="1"/>
    <w:qFormat/>
    <w:uiPriority w:val="0"/>
    <w:pPr>
      <w:ind w:firstLine="480" w:firstLineChars="200"/>
    </w:pPr>
    <w:rPr>
      <w:lang w:val="zh-CN"/>
    </w:rPr>
  </w:style>
  <w:style w:type="character" w:customStyle="1" w:styleId="49">
    <w:name w:val="标题 1 字符"/>
    <w:basedOn w:val="40"/>
    <w:link w:val="2"/>
    <w:qFormat/>
    <w:uiPriority w:val="99"/>
    <w:rPr>
      <w:rFonts w:ascii="Calibri" w:hAnsi="Calibri" w:eastAsia="宋体" w:cs="Times New Roman"/>
      <w:b/>
      <w:bCs/>
      <w:kern w:val="44"/>
      <w:sz w:val="36"/>
      <w:szCs w:val="44"/>
    </w:rPr>
  </w:style>
  <w:style w:type="character" w:customStyle="1" w:styleId="50">
    <w:name w:val="标题 2 字符"/>
    <w:basedOn w:val="40"/>
    <w:link w:val="3"/>
    <w:qFormat/>
    <w:uiPriority w:val="99"/>
    <w:rPr>
      <w:rFonts w:ascii="Arial" w:hAnsi="Arial" w:eastAsia="宋体" w:cs="Times New Roman"/>
      <w:b/>
      <w:bCs/>
      <w:sz w:val="24"/>
      <w:szCs w:val="32"/>
    </w:rPr>
  </w:style>
  <w:style w:type="character" w:customStyle="1" w:styleId="51">
    <w:name w:val="标题 3 字符"/>
    <w:basedOn w:val="40"/>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6"/>
    <w:qFormat/>
    <w:locked/>
    <w:uiPriority w:val="0"/>
    <w:rPr>
      <w:b/>
    </w:rPr>
  </w:style>
  <w:style w:type="character" w:customStyle="1" w:styleId="55">
    <w:name w:val="正文文本缩进 3 字符"/>
    <w:link w:val="29"/>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0"/>
    <w:qFormat/>
    <w:uiPriority w:val="0"/>
    <w:rPr>
      <w:rFonts w:cs="Times New Roman"/>
    </w:rPr>
  </w:style>
  <w:style w:type="character" w:customStyle="1" w:styleId="61">
    <w:name w:val="页眉 字符"/>
    <w:link w:val="24"/>
    <w:qFormat/>
    <w:locked/>
    <w:uiPriority w:val="99"/>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0"/>
    <w:qFormat/>
    <w:locked/>
    <w:uiPriority w:val="0"/>
  </w:style>
  <w:style w:type="character" w:customStyle="1" w:styleId="64">
    <w:name w:val="标题 字符"/>
    <w:link w:val="35"/>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8"/>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17"/>
    <w:qFormat/>
    <w:locked/>
    <w:uiPriority w:val="99"/>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3"/>
    <w:qFormat/>
    <w:uiPriority w:val="99"/>
    <w:rPr>
      <w:rFonts w:ascii="Calibri" w:hAnsi="Calibri" w:eastAsia="宋体" w:cs="Times New Roman"/>
      <w:szCs w:val="20"/>
    </w:rPr>
  </w:style>
  <w:style w:type="character" w:customStyle="1" w:styleId="82">
    <w:name w:val="文档结构图 字符1"/>
    <w:basedOn w:val="40"/>
    <w:semiHidden/>
    <w:qFormat/>
    <w:uiPriority w:val="99"/>
    <w:rPr>
      <w:rFonts w:ascii="Microsoft YaHei UI" w:eastAsia="Microsoft YaHei UI"/>
      <w:sz w:val="18"/>
      <w:szCs w:val="18"/>
    </w:rPr>
  </w:style>
  <w:style w:type="character" w:customStyle="1" w:styleId="83">
    <w:name w:val="文档结构图 字符11"/>
    <w:basedOn w:val="40"/>
    <w:semiHidden/>
    <w:qFormat/>
    <w:uiPriority w:val="99"/>
    <w:rPr>
      <w:rFonts w:ascii="Microsoft YaHei UI" w:eastAsia="Microsoft YaHei UI" w:cs="Times New Roman"/>
      <w:kern w:val="2"/>
      <w:sz w:val="18"/>
      <w:szCs w:val="18"/>
    </w:rPr>
  </w:style>
  <w:style w:type="character" w:customStyle="1" w:styleId="84">
    <w:name w:val="正文文本 字符"/>
    <w:basedOn w:val="40"/>
    <w:link w:val="12"/>
    <w:qFormat/>
    <w:uiPriority w:val="99"/>
    <w:rPr>
      <w:rFonts w:ascii="Calibri" w:hAnsi="Calibri" w:eastAsia="新宋体" w:cs="Times New Roman"/>
      <w:szCs w:val="21"/>
    </w:rPr>
  </w:style>
  <w:style w:type="character" w:customStyle="1" w:styleId="85">
    <w:name w:val="纯文本 字符1"/>
    <w:basedOn w:val="40"/>
    <w:semiHidden/>
    <w:qFormat/>
    <w:uiPriority w:val="99"/>
    <w:rPr>
      <w:rFonts w:hAnsi="Courier New" w:cs="Courier New" w:asciiTheme="minorEastAsia"/>
    </w:rPr>
  </w:style>
  <w:style w:type="character" w:customStyle="1" w:styleId="86">
    <w:name w:val="纯文本 字符11"/>
    <w:basedOn w:val="40"/>
    <w:qFormat/>
    <w:uiPriority w:val="0"/>
    <w:rPr>
      <w:rFonts w:hAnsi="Courier New" w:cs="Courier New" w:asciiTheme="minorEastAsia" w:eastAsiaTheme="minorEastAsia"/>
      <w:kern w:val="2"/>
      <w:sz w:val="21"/>
    </w:rPr>
  </w:style>
  <w:style w:type="character" w:customStyle="1" w:styleId="87">
    <w:name w:val="页眉 字符1"/>
    <w:basedOn w:val="40"/>
    <w:semiHidden/>
    <w:qFormat/>
    <w:uiPriority w:val="99"/>
    <w:rPr>
      <w:sz w:val="18"/>
      <w:szCs w:val="18"/>
    </w:rPr>
  </w:style>
  <w:style w:type="character" w:customStyle="1" w:styleId="88">
    <w:name w:val="页眉 字符11"/>
    <w:basedOn w:val="40"/>
    <w:semiHidden/>
    <w:qFormat/>
    <w:uiPriority w:val="99"/>
    <w:rPr>
      <w:rFonts w:cs="Times New Roman"/>
      <w:kern w:val="2"/>
      <w:sz w:val="18"/>
      <w:szCs w:val="18"/>
    </w:rPr>
  </w:style>
  <w:style w:type="character" w:customStyle="1" w:styleId="89">
    <w:name w:val="批注框文本 字符1"/>
    <w:basedOn w:val="40"/>
    <w:semiHidden/>
    <w:qFormat/>
    <w:uiPriority w:val="99"/>
    <w:rPr>
      <w:sz w:val="18"/>
      <w:szCs w:val="18"/>
    </w:rPr>
  </w:style>
  <w:style w:type="character" w:customStyle="1" w:styleId="90">
    <w:name w:val="批注框文本 字符11"/>
    <w:basedOn w:val="40"/>
    <w:semiHidden/>
    <w:qFormat/>
    <w:uiPriority w:val="99"/>
    <w:rPr>
      <w:rFonts w:cs="Times New Roman"/>
      <w:kern w:val="2"/>
      <w:sz w:val="18"/>
      <w:szCs w:val="18"/>
    </w:rPr>
  </w:style>
  <w:style w:type="character" w:customStyle="1" w:styleId="91">
    <w:name w:val="日期 字符1"/>
    <w:basedOn w:val="40"/>
    <w:semiHidden/>
    <w:qFormat/>
    <w:uiPriority w:val="99"/>
  </w:style>
  <w:style w:type="character" w:customStyle="1" w:styleId="92">
    <w:name w:val="日期 字符11"/>
    <w:basedOn w:val="40"/>
    <w:semiHidden/>
    <w:qFormat/>
    <w:uiPriority w:val="99"/>
    <w:rPr>
      <w:rFonts w:cs="Times New Roman"/>
      <w:kern w:val="2"/>
      <w:sz w:val="21"/>
    </w:rPr>
  </w:style>
  <w:style w:type="character" w:customStyle="1" w:styleId="93">
    <w:name w:val="页脚 字符1"/>
    <w:basedOn w:val="40"/>
    <w:semiHidden/>
    <w:qFormat/>
    <w:uiPriority w:val="99"/>
    <w:rPr>
      <w:sz w:val="18"/>
      <w:szCs w:val="18"/>
    </w:rPr>
  </w:style>
  <w:style w:type="character" w:customStyle="1" w:styleId="94">
    <w:name w:val="页脚 字符11"/>
    <w:basedOn w:val="40"/>
    <w:semiHidden/>
    <w:qFormat/>
    <w:uiPriority w:val="99"/>
    <w:rPr>
      <w:rFonts w:cs="Times New Roman"/>
      <w:kern w:val="2"/>
      <w:sz w:val="18"/>
      <w:szCs w:val="18"/>
    </w:rPr>
  </w:style>
  <w:style w:type="character" w:customStyle="1" w:styleId="95">
    <w:name w:val="正文文本缩进 2 字符1"/>
    <w:basedOn w:val="40"/>
    <w:semiHidden/>
    <w:qFormat/>
    <w:uiPriority w:val="99"/>
  </w:style>
  <w:style w:type="character" w:customStyle="1" w:styleId="96">
    <w:name w:val="正文文本缩进 2 字符11"/>
    <w:basedOn w:val="40"/>
    <w:semiHidden/>
    <w:qFormat/>
    <w:uiPriority w:val="99"/>
    <w:rPr>
      <w:rFonts w:cs="Times New Roman"/>
      <w:kern w:val="2"/>
      <w:sz w:val="21"/>
    </w:rPr>
  </w:style>
  <w:style w:type="character" w:customStyle="1" w:styleId="97">
    <w:name w:val="正文文本缩进 3 字符1"/>
    <w:basedOn w:val="40"/>
    <w:semiHidden/>
    <w:qFormat/>
    <w:uiPriority w:val="99"/>
    <w:rPr>
      <w:sz w:val="16"/>
      <w:szCs w:val="16"/>
    </w:rPr>
  </w:style>
  <w:style w:type="character" w:customStyle="1" w:styleId="98">
    <w:name w:val="正文文本缩进 3 字符11"/>
    <w:basedOn w:val="40"/>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qFormat/>
    <w:uiPriority w:val="0"/>
    <w:pPr>
      <w:spacing w:before="100" w:beforeAutospacing="1" w:after="100" w:afterAutospacing="1"/>
      <w:jc w:val="left"/>
    </w:pPr>
    <w:rPr>
      <w:rFonts w:ascii="宋体" w:hAnsi="宋体" w:eastAsia="宋体"/>
      <w:sz w:val="24"/>
      <w:szCs w:val="24"/>
    </w:rPr>
  </w:style>
  <w:style w:type="paragraph" w:customStyle="1" w:styleId="105">
    <w:name w:val="章标题"/>
    <w:next w:val="106"/>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qFormat/>
    <w:uiPriority w:val="0"/>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10"/>
    <w:next w:val="107"/>
    <w:qFormat/>
    <w:uiPriority w:val="0"/>
    <w:pPr>
      <w:spacing w:after="160" w:line="240" w:lineRule="exact"/>
      <w:jc w:val="left"/>
    </w:pPr>
    <w:rPr>
      <w:rFonts w:ascii="Arial" w:hAnsi="Arial" w:eastAsia="宋体" w:cs="Verdana"/>
      <w:b/>
      <w:sz w:val="24"/>
      <w:szCs w:val="24"/>
      <w:lang w:eastAsia="en-US" w:bidi="th-TH"/>
    </w:rPr>
  </w:style>
  <w:style w:type="paragraph" w:customStyle="1" w:styleId="110">
    <w:name w:val="一级条标题"/>
    <w:basedOn w:val="105"/>
    <w:next w:val="106"/>
    <w:qFormat/>
    <w:uiPriority w:val="0"/>
    <w:pPr>
      <w:numPr>
        <w:ilvl w:val="2"/>
      </w:numPr>
      <w:spacing w:beforeLines="0" w:afterLines="0"/>
      <w:outlineLvl w:val="2"/>
    </w:p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qFormat/>
    <w:uiPriority w:val="0"/>
    <w:rPr>
      <w:rFonts w:ascii="Verdana" w:hAnsi="Verdana" w:eastAsia="宋体" w:cs="Times New Roman"/>
      <w:kern w:val="0"/>
      <w:sz w:val="20"/>
      <w:szCs w:val="20"/>
      <w:lang w:eastAsia="en-US"/>
    </w:rPr>
  </w:style>
  <w:style w:type="paragraph" w:customStyle="1" w:styleId="115">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qFormat/>
    <w:uiPriority w:val="0"/>
    <w:pPr>
      <w:spacing w:line="360" w:lineRule="auto"/>
      <w:ind w:firstLine="200" w:firstLineChars="200"/>
    </w:pPr>
    <w:rPr>
      <w:rFonts w:hAnsi="宋体"/>
      <w:color w:val="000000"/>
      <w:sz w:val="24"/>
      <w:szCs w:val="24"/>
    </w:rPr>
  </w:style>
  <w:style w:type="paragraph" w:customStyle="1" w:styleId="120">
    <w:name w:val="标书二级标题"/>
    <w:basedOn w:val="3"/>
    <w:link w:val="123"/>
    <w:qFormat/>
    <w:uiPriority w:val="0"/>
    <w:pPr>
      <w:spacing w:line="240" w:lineRule="auto"/>
      <w:jc w:val="left"/>
    </w:pPr>
    <w:rPr>
      <w:rFonts w:ascii="宋体" w:hAnsi="宋体" w:eastAsia="黑体"/>
      <w:b w:val="0"/>
      <w:sz w:val="28"/>
      <w:szCs w:val="30"/>
    </w:rPr>
  </w:style>
  <w:style w:type="character" w:customStyle="1" w:styleId="121">
    <w:name w:val="标书正文格式 字符"/>
    <w:link w:val="119"/>
    <w:qFormat/>
    <w:locked/>
    <w:uiPriority w:val="0"/>
    <w:rPr>
      <w:rFonts w:ascii="宋体" w:hAnsi="宋体"/>
      <w:color w:val="000000"/>
      <w:sz w:val="24"/>
      <w:szCs w:val="24"/>
    </w:rPr>
  </w:style>
  <w:style w:type="paragraph" w:customStyle="1" w:styleId="122">
    <w:name w:val="标书表格"/>
    <w:basedOn w:val="1"/>
    <w:link w:val="124"/>
    <w:qFormat/>
    <w:uiPriority w:val="0"/>
    <w:pPr>
      <w:jc w:val="center"/>
    </w:pPr>
    <w:rPr>
      <w:rFonts w:ascii="Times New Roman" w:hAnsi="Times New Roman" w:eastAsia="宋体" w:cs="Times New Roman"/>
      <w:b/>
      <w:szCs w:val="20"/>
    </w:rPr>
  </w:style>
  <w:style w:type="character" w:customStyle="1" w:styleId="123">
    <w:name w:val="标书二级标题 字符"/>
    <w:link w:val="120"/>
    <w:qFormat/>
    <w:locked/>
    <w:uiPriority w:val="0"/>
    <w:rPr>
      <w:rFonts w:ascii="宋体" w:hAnsi="宋体" w:eastAsia="黑体" w:cs="Times New Roman"/>
      <w:bCs/>
      <w:sz w:val="28"/>
      <w:szCs w:val="30"/>
    </w:rPr>
  </w:style>
  <w:style w:type="character" w:customStyle="1" w:styleId="124">
    <w:name w:val="标书表格 字符"/>
    <w:link w:val="122"/>
    <w:qFormat/>
    <w:locked/>
    <w:uiPriority w:val="0"/>
    <w:rPr>
      <w:rFonts w:ascii="Times New Roman" w:hAnsi="Times New Roman" w:eastAsia="宋体" w:cs="Times New Roman"/>
      <w:b/>
      <w:szCs w:val="20"/>
    </w:rPr>
  </w:style>
  <w:style w:type="paragraph" w:customStyle="1" w:styleId="125">
    <w:name w:val="标书三级标题"/>
    <w:basedOn w:val="4"/>
    <w:next w:val="119"/>
    <w:link w:val="126"/>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qFormat/>
    <w:locked/>
    <w:uiPriority w:val="0"/>
    <w:rPr>
      <w:b/>
      <w:color w:val="000000"/>
      <w:sz w:val="24"/>
    </w:rPr>
  </w:style>
  <w:style w:type="paragraph" w:customStyle="1" w:styleId="128">
    <w:name w:val="标三级标题"/>
    <w:basedOn w:val="125"/>
    <w:link w:val="127"/>
    <w:qFormat/>
    <w:uiPriority w:val="0"/>
    <w:rPr>
      <w:rFonts w:asciiTheme="minorHAnsi" w:hAnsiTheme="minorHAnsi" w:eastAsiaTheme="minorEastAsia" w:cstheme="minorBidi"/>
      <w:bCs w:val="0"/>
      <w:szCs w:val="22"/>
    </w:rPr>
  </w:style>
  <w:style w:type="character" w:customStyle="1" w:styleId="129">
    <w:name w:val="标正文 字符"/>
    <w:link w:val="130"/>
    <w:qFormat/>
    <w:locked/>
    <w:uiPriority w:val="0"/>
    <w:rPr>
      <w:rFonts w:ascii="宋体" w:eastAsia="宋体"/>
      <w:color w:val="000000"/>
      <w:sz w:val="24"/>
    </w:rPr>
  </w:style>
  <w:style w:type="paragraph" w:customStyle="1" w:styleId="130">
    <w:name w:val="标正文"/>
    <w:basedOn w:val="119"/>
    <w:link w:val="129"/>
    <w:qFormat/>
    <w:uiPriority w:val="0"/>
    <w:pPr>
      <w:ind w:firstLine="480"/>
    </w:pPr>
    <w:rPr>
      <w:rFonts w:eastAsia="宋体" w:hAnsiTheme="minorHAnsi"/>
      <w:szCs w:val="22"/>
    </w:rPr>
  </w:style>
  <w:style w:type="paragraph" w:customStyle="1" w:styleId="131">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qFormat/>
    <w:uiPriority w:val="0"/>
    <w:pPr>
      <w:spacing w:beforeLines="25" w:afterLines="25" w:line="300" w:lineRule="auto"/>
    </w:pPr>
    <w:rPr>
      <w:szCs w:val="24"/>
    </w:rPr>
  </w:style>
  <w:style w:type="paragraph" w:styleId="133">
    <w:name w:val="List Paragraph"/>
    <w:basedOn w:val="1"/>
    <w:qFormat/>
    <w:uiPriority w:val="99"/>
    <w:pPr>
      <w:ind w:firstLine="420" w:firstLineChars="200"/>
    </w:pPr>
  </w:style>
  <w:style w:type="paragraph" w:customStyle="1" w:styleId="134">
    <w:name w:val="WPSOffice手动目录 1"/>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2"/>
    <w:qFormat/>
    <w:uiPriority w:val="0"/>
    <w:rPr>
      <w:rFonts w:eastAsia="黑体"/>
      <w:b w:val="0"/>
      <w:color w:val="000000"/>
      <w:sz w:val="30"/>
      <w:szCs w:val="24"/>
    </w:rPr>
  </w:style>
  <w:style w:type="paragraph" w:customStyle="1" w:styleId="139">
    <w:name w:val="FAW正文"/>
    <w:basedOn w:val="1"/>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0"/>
        <w:numId w:val="0"/>
      </w:numPr>
      <w:ind w:left="3827"/>
      <w:outlineLvl w:val="3"/>
    </w:pPr>
  </w:style>
  <w:style w:type="paragraph" w:customStyle="1" w:styleId="144">
    <w:name w:val="三级条标题"/>
    <w:basedOn w:val="143"/>
    <w:next w:val="106"/>
    <w:qFormat/>
    <w:uiPriority w:val="0"/>
    <w:pPr>
      <w:numPr>
        <w:ilvl w:val="4"/>
      </w:numPr>
      <w:ind w:left="3827"/>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semiHidden/>
    <w:qFormat/>
    <w:uiPriority w:val="34"/>
    <w:pPr>
      <w:ind w:firstLine="420" w:firstLineChars="200"/>
    </w:pPr>
  </w:style>
  <w:style w:type="paragraph" w:customStyle="1" w:styleId="150">
    <w:name w:val="3.2"/>
    <w:basedOn w:val="143"/>
    <w:next w:val="107"/>
    <w:qFormat/>
    <w:uiPriority w:val="0"/>
    <w:pPr>
      <w:numPr>
        <w:ilvl w:val="3"/>
        <w:numId w:val="2"/>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2"/>
      </w:numPr>
      <w:outlineLvl w:val="4"/>
    </w:pPr>
    <w:rPr>
      <w:rFonts w:ascii="宋体" w:hAnsi="宋体" w:eastAsia="宋体"/>
      <w:color w:val="000000"/>
      <w:szCs w:val="21"/>
    </w:rPr>
  </w:style>
  <w:style w:type="paragraph" w:customStyle="1" w:styleId="152">
    <w:name w:val="其他发布部门"/>
    <w:basedOn w:val="153"/>
    <w:semiHidden/>
    <w:qFormat/>
    <w:uiPriority w:val="0"/>
    <w:pPr>
      <w:framePr w:wrap="around"/>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54">
    <w:name w:val="_Style 332"/>
    <w:basedOn w:val="1"/>
    <w:next w:val="133"/>
    <w:qFormat/>
    <w:uiPriority w:val="1"/>
    <w:pPr>
      <w:ind w:firstLine="420" w:firstLineChars="200"/>
    </w:pPr>
    <w:rPr>
      <w:szCs w:val="24"/>
    </w:rPr>
  </w:style>
  <w:style w:type="paragraph" w:customStyle="1" w:styleId="155">
    <w:name w:val="正文内容"/>
    <w:qFormat/>
    <w:uiPriority w:val="0"/>
    <w:pPr>
      <w:widowControl w:val="0"/>
      <w:ind w:firstLine="200" w:firstLineChars="200"/>
      <w:jc w:val="both"/>
    </w:pPr>
    <w:rPr>
      <w:rFonts w:ascii="Times New Roman" w:hAnsi="Times New Roman" w:eastAsia="仿宋_GB2312" w:cs="Times New Roman"/>
      <w:bCs/>
      <w:kern w:val="2"/>
      <w:sz w:val="28"/>
      <w:szCs w:val="24"/>
      <w:lang w:val="en-US" w:eastAsia="zh-CN" w:bidi="ar-SA"/>
    </w:rPr>
  </w:style>
  <w:style w:type="paragraph" w:customStyle="1" w:styleId="156">
    <w:name w:val="表格"/>
    <w:basedOn w:val="1"/>
    <w:qFormat/>
    <w:uiPriority w:val="10"/>
    <w:rPr>
      <w:rFonts w:ascii="宋体" w:hAnsi="宋体"/>
      <w:szCs w:val="30"/>
    </w:rPr>
  </w:style>
  <w:style w:type="paragraph" w:customStyle="1" w:styleId="157">
    <w:name w:val="章节"/>
    <w:basedOn w:val="17"/>
    <w:qFormat/>
    <w:uiPriority w:val="0"/>
    <w:pPr>
      <w:spacing w:line="360" w:lineRule="auto"/>
      <w:jc w:val="center"/>
      <w:outlineLvl w:val="0"/>
    </w:pPr>
    <w:rPr>
      <w:rFonts w:ascii="黑体" w:eastAsia="黑体"/>
      <w:b/>
      <w:bCs/>
      <w:sz w:val="36"/>
      <w:szCs w:val="36"/>
    </w:rPr>
  </w:style>
  <w:style w:type="paragraph" w:customStyle="1" w:styleId="158">
    <w:name w:val="一级标题"/>
    <w:basedOn w:val="17"/>
    <w:qFormat/>
    <w:uiPriority w:val="1"/>
    <w:pPr>
      <w:numPr>
        <w:ilvl w:val="0"/>
        <w:numId w:val="3"/>
      </w:numPr>
      <w:spacing w:line="360" w:lineRule="auto"/>
      <w:ind w:left="420"/>
      <w:outlineLvl w:val="1"/>
    </w:pPr>
    <w:rPr>
      <w:rFonts w:ascii="黑体" w:eastAsia="黑体"/>
      <w:b/>
      <w:bCs/>
      <w:sz w:val="28"/>
    </w:rPr>
  </w:style>
  <w:style w:type="paragraph" w:customStyle="1" w:styleId="159">
    <w:name w:val="（二）级标题"/>
    <w:basedOn w:val="17"/>
    <w:qFormat/>
    <w:uiPriority w:val="2"/>
    <w:pPr>
      <w:numPr>
        <w:ilvl w:val="0"/>
        <w:numId w:val="4"/>
      </w:numPr>
      <w:spacing w:line="360" w:lineRule="auto"/>
      <w:outlineLvl w:val="2"/>
    </w:pPr>
    <w:rPr>
      <w:b/>
    </w:rPr>
  </w:style>
  <w:style w:type="paragraph" w:customStyle="1" w:styleId="160">
    <w:name w:val="标书正文"/>
    <w:basedOn w:val="17"/>
    <w:qFormat/>
    <w:uiPriority w:val="9"/>
    <w:pPr>
      <w:spacing w:line="360" w:lineRule="auto"/>
      <w:jc w:val="left"/>
    </w:pPr>
  </w:style>
  <w:style w:type="paragraph" w:customStyle="1" w:styleId="161">
    <w:name w:val="3级标题"/>
    <w:basedOn w:val="17"/>
    <w:qFormat/>
    <w:uiPriority w:val="3"/>
    <w:pPr>
      <w:numPr>
        <w:ilvl w:val="0"/>
        <w:numId w:val="5"/>
      </w:numPr>
      <w:spacing w:line="360" w:lineRule="auto"/>
      <w:outlineLvl w:val="3"/>
    </w:pPr>
    <w:rPr>
      <w:b/>
    </w:rPr>
  </w:style>
  <w:style w:type="paragraph" w:customStyle="1" w:styleId="162">
    <w:name w:val="（4）级标题"/>
    <w:basedOn w:val="17"/>
    <w:qFormat/>
    <w:uiPriority w:val="8"/>
    <w:pPr>
      <w:numPr>
        <w:ilvl w:val="0"/>
        <w:numId w:val="6"/>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528B8B-13DA-4179-B8DA-9B3B9D8EE749}">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89</Pages>
  <Words>10286</Words>
  <Characters>10854</Characters>
  <Lines>416</Lines>
  <Paragraphs>117</Paragraphs>
  <TotalTime>53</TotalTime>
  <ScaleCrop>false</ScaleCrop>
  <LinksUpToDate>false</LinksUpToDate>
  <CharactersWithSpaces>10986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2024-11-21T09:50:00Z</dcterms:created>
  <dc:creator>ZQNet</dc:creator>
  <cp:lastModifiedBy>OUTSIDER</cp:lastModifiedBy>
  <cp:lastPrinted>2022-07-01T03:19:00Z</cp:lastPrinted>
  <dcterms:modified xsi:type="dcterms:W3CDTF">2026-04-23T09:00:59Z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5035C9CBC4184D29A655D3E07D53D953_13</vt:lpwstr>
  </property>
  <property fmtid="{D5CDD505-2E9C-101B-9397-08002B2CF9AE}" pid="4" name="KSOTemplateDocerSaveRecord">
    <vt:lpwstr>eyJoZGlkIjoiMDgwMGY1YTdiNGZkNWNlNjk3MDRhNTZmYTg3Nzk2YzYiLCJ1c2VySWQiOiI1MzQzNDE1NjEifQ==</vt:lpwstr>
  </property>
</Properties>
</file>