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2A597">
      <w:pPr>
        <w:jc w:val="center"/>
        <w:rPr>
          <w:rFonts w:ascii="宋体" w:hAnsi="Calibri" w:eastAsia="宋体" w:cs="Times New Roman"/>
          <w:color w:val="000000"/>
          <w:sz w:val="30"/>
          <w:szCs w:val="30"/>
          <w:highlight w:val="none"/>
        </w:rPr>
      </w:pPr>
      <w:bookmarkStart w:id="0" w:name="OLE_LINK31"/>
      <w:bookmarkStart w:id="1" w:name="OLE_LINK30"/>
    </w:p>
    <w:p w14:paraId="7BBB9930">
      <w:pPr>
        <w:pStyle w:val="156"/>
      </w:pPr>
      <w:r>
        <w:rPr>
          <w:sz w:val="48"/>
          <w:szCs w:val="48"/>
        </w:rPr>
        <w:drawing>
          <wp:anchor distT="0" distB="0" distL="114300" distR="114300" simplePos="0" relativeHeight="25166438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6" name="图片 6"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tim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r>
        <w:rPr>
          <w:rFonts w:hint="eastAsia" w:ascii="楷体_GB2312" w:hAnsi="宋体" w:eastAsia="楷体_GB2312" w:cs="Times New Roman"/>
          <w:sz w:val="52"/>
          <w:szCs w:val="52"/>
        </w:rPr>
        <w:t>中国重汽集团济南商用车有限公司</w:t>
      </w:r>
    </w:p>
    <w:p w14:paraId="27BA30F9">
      <w:pPr>
        <w:ind w:right="280"/>
        <w:jc w:val="center"/>
        <w:rPr>
          <w:rFonts w:hint="eastAsia" w:ascii="楷体_GB2312" w:hAnsi="宋体" w:eastAsia="楷体_GB2312" w:cs="Times New Roman"/>
          <w:sz w:val="52"/>
          <w:szCs w:val="52"/>
          <w:lang w:val="en-US" w:eastAsia="zh-CN"/>
        </w:rPr>
      </w:pPr>
      <w:r>
        <w:rPr>
          <w:rFonts w:hint="eastAsia" w:ascii="楷体_GB2312" w:hAnsi="宋体" w:eastAsia="楷体_GB2312" w:cs="Times New Roman"/>
          <w:sz w:val="52"/>
          <w:szCs w:val="52"/>
          <w:lang w:val="en-US" w:eastAsia="zh-CN"/>
        </w:rPr>
        <w:t>新能源轻卡怀挡车型改造项目-焊装线改造项目</w:t>
      </w:r>
    </w:p>
    <w:p w14:paraId="7F61D713">
      <w:pPr>
        <w:ind w:right="280"/>
        <w:jc w:val="center"/>
        <w:rPr>
          <w:rFonts w:ascii="楷体_GB2312" w:hAnsi="宋体" w:eastAsia="楷体_GB2312"/>
          <w:sz w:val="52"/>
          <w:szCs w:val="52"/>
        </w:rPr>
      </w:pP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u w:val="single"/>
        </w:rPr>
        <w:t>ZBGL2026020231</w:t>
      </w:r>
    </w:p>
    <w:p w14:paraId="10A10BCC">
      <w:pPr>
        <w:jc w:val="center"/>
        <w:rPr>
          <w:rFonts w:ascii="宋体" w:hAnsi="宋体"/>
          <w:sz w:val="48"/>
          <w:szCs w:val="48"/>
        </w:rPr>
      </w:pPr>
    </w:p>
    <w:p w14:paraId="12CB50D1">
      <w:pPr>
        <w:jc w:val="both"/>
        <w:rPr>
          <w:rFonts w:ascii="宋体" w:hAnsi="宋体"/>
          <w:sz w:val="28"/>
          <w:szCs w:val="28"/>
        </w:rPr>
      </w:pPr>
    </w:p>
    <w:p w14:paraId="0D8A0D9A">
      <w:pPr>
        <w:jc w:val="center"/>
        <w:rPr>
          <w:rFonts w:ascii="宋体" w:hAnsi="宋体"/>
          <w:sz w:val="28"/>
          <w:szCs w:val="28"/>
        </w:rPr>
      </w:pPr>
      <w:r>
        <w:rPr>
          <w:rFonts w:hint="eastAsia" w:ascii="宋体" w:hAnsi="宋体"/>
          <w:sz w:val="28"/>
          <w:szCs w:val="28"/>
        </w:rPr>
        <w:t>招 标 人：中国重汽集团济南商用车有限公司</w:t>
      </w:r>
    </w:p>
    <w:p w14:paraId="0438957B">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02</w:t>
      </w:r>
      <w:r>
        <w:rPr>
          <w:rFonts w:hint="eastAsia" w:ascii="宋体" w:hAnsi="宋体"/>
          <w:sz w:val="28"/>
          <w:szCs w:val="28"/>
          <w:highlight w:val="none"/>
          <w:u w:val="single"/>
        </w:rPr>
        <w:t>月</w:t>
      </w:r>
    </w:p>
    <w:p w14:paraId="5D4679AE">
      <w:pPr>
        <w:keepNext/>
        <w:keepLines/>
        <w:jc w:val="center"/>
        <w:rPr>
          <w:rFonts w:hint="eastAsia" w:ascii="宋体" w:hAnsi="宋体" w:eastAsia="宋体" w:cs="宋体"/>
          <w:b/>
          <w:bCs/>
          <w:kern w:val="44"/>
          <w:sz w:val="36"/>
          <w:szCs w:val="44"/>
          <w:highlight w:val="none"/>
        </w:rPr>
        <w:sectPr>
          <w:headerReference r:id="rId4" w:type="first"/>
          <w:footerReference r:id="rId6" w:type="first"/>
          <w:headerReference r:id="rId3" w:type="default"/>
          <w:footerReference r:id="rId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131"/>
            <w:jc w:val="center"/>
            <w:rPr>
              <w:rFonts w:ascii="黑体" w:hAnsi="黑体" w:eastAsia="黑体"/>
              <w:b/>
              <w:color w:val="auto"/>
              <w:sz w:val="44"/>
              <w:szCs w:val="44"/>
              <w:lang w:val="zh-CN"/>
            </w:rPr>
          </w:pPr>
          <w:bookmarkStart w:id="2" w:name="_Toc32654"/>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9CEB711">
          <w:pPr>
            <w:pStyle w:val="25"/>
            <w:tabs>
              <w:tab w:val="right" w:leader="dot" w:pos="9070"/>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_Toc1260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_Toc1260 \h </w:instrText>
          </w:r>
          <w:r>
            <w:fldChar w:fldCharType="separate"/>
          </w:r>
          <w:r>
            <w:t>- 1 -</w:t>
          </w:r>
          <w:r>
            <w:fldChar w:fldCharType="end"/>
          </w:r>
          <w:r>
            <w:rPr>
              <w:rFonts w:hint="eastAsia" w:ascii="Calibri" w:hAnsi="Calibri"/>
              <w:bCs/>
              <w:kern w:val="44"/>
              <w:szCs w:val="44"/>
            </w:rPr>
            <w:fldChar w:fldCharType="end"/>
          </w:r>
        </w:p>
        <w:p w14:paraId="75168133">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_Toc6686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_Toc6686 \h </w:instrText>
          </w:r>
          <w:r>
            <w:fldChar w:fldCharType="separate"/>
          </w:r>
          <w:r>
            <w:t>- 5 -</w:t>
          </w:r>
          <w:r>
            <w:fldChar w:fldCharType="end"/>
          </w:r>
          <w:r>
            <w:rPr>
              <w:rFonts w:hint="eastAsia" w:ascii="Calibri" w:hAnsi="Calibri" w:eastAsia="宋体" w:cs="Times New Roman"/>
              <w:bCs/>
              <w:kern w:val="44"/>
              <w:szCs w:val="44"/>
            </w:rPr>
            <w:fldChar w:fldCharType="end"/>
          </w:r>
        </w:p>
        <w:p w14:paraId="1550064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_Toc12639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 技术标书</w:t>
          </w:r>
          <w:r>
            <w:tab/>
          </w:r>
          <w:r>
            <w:t xml:space="preserve">- </w:t>
          </w:r>
          <w:r>
            <w:fldChar w:fldCharType="begin"/>
          </w:r>
          <w:r>
            <w:instrText xml:space="preserve"> PAGEREF _Toc12639 \h </w:instrText>
          </w:r>
          <w:r>
            <w:fldChar w:fldCharType="separate"/>
          </w:r>
          <w:r>
            <w:t>16</w:t>
          </w:r>
          <w:r>
            <w:fldChar w:fldCharType="end"/>
          </w:r>
          <w:r>
            <w:rPr>
              <w:rFonts w:hint="eastAsia" w:ascii="Calibri" w:hAnsi="Calibri" w:eastAsia="宋体" w:cs="Times New Roman"/>
              <w:bCs/>
              <w:kern w:val="44"/>
              <w:szCs w:val="44"/>
            </w:rPr>
            <w:fldChar w:fldCharType="end"/>
          </w:r>
          <w:r>
            <w:t xml:space="preserve"> -</w:t>
          </w:r>
        </w:p>
        <w:p w14:paraId="5693AB66">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_Toc25529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rPr>
            <w:t>第一章</w:t>
          </w:r>
          <w:r>
            <w:rPr>
              <w:rFonts w:ascii="黑体" w:hAnsi="等线" w:eastAsia="黑体" w:cs="Times New Roman"/>
              <w:kern w:val="44"/>
              <w:szCs w:val="28"/>
              <w:highlight w:val="none"/>
            </w:rPr>
            <w:t xml:space="preserve">  </w:t>
          </w:r>
          <w:r>
            <w:rPr>
              <w:rFonts w:hint="eastAsia" w:ascii="黑体" w:hAnsi="等线" w:eastAsia="黑体" w:cs="Times New Roman"/>
              <w:kern w:val="44"/>
              <w:szCs w:val="28"/>
              <w:highlight w:val="none"/>
            </w:rPr>
            <w:t>采购货物概况</w:t>
          </w:r>
          <w:r>
            <w:tab/>
          </w:r>
          <w:r>
            <w:fldChar w:fldCharType="begin"/>
          </w:r>
          <w:r>
            <w:instrText xml:space="preserve"> PAGEREF _Toc25529 \h </w:instrText>
          </w:r>
          <w:r>
            <w:fldChar w:fldCharType="separate"/>
          </w:r>
          <w:r>
            <w:t>- 17 -</w:t>
          </w:r>
          <w:r>
            <w:fldChar w:fldCharType="end"/>
          </w:r>
          <w:r>
            <w:rPr>
              <w:rFonts w:hint="eastAsia" w:ascii="Calibri" w:hAnsi="Calibri" w:eastAsia="宋体" w:cs="Times New Roman"/>
              <w:bCs/>
              <w:kern w:val="44"/>
              <w:szCs w:val="44"/>
            </w:rPr>
            <w:fldChar w:fldCharType="end"/>
          </w:r>
        </w:p>
        <w:p w14:paraId="3A16DD41">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_Toc28293 </w:instrText>
          </w:r>
          <w:r>
            <w:rPr>
              <w:rFonts w:hint="eastAsia" w:ascii="Calibri" w:hAnsi="Calibri" w:eastAsia="宋体" w:cs="Times New Roman"/>
              <w:bCs/>
              <w:kern w:val="44"/>
              <w:szCs w:val="44"/>
            </w:rPr>
            <w:fldChar w:fldCharType="separate"/>
          </w:r>
          <w:r>
            <w:rPr>
              <w:rFonts w:hint="eastAsia" w:ascii="黑体" w:hAnsi="黑体" w:eastAsia="黑体" w:cs="黑体"/>
              <w:kern w:val="44"/>
              <w:szCs w:val="28"/>
              <w:highlight w:val="none"/>
            </w:rPr>
            <w:t>第二章</w:t>
          </w:r>
          <w:r>
            <w:rPr>
              <w:rFonts w:ascii="黑体" w:hAnsi="黑体" w:eastAsia="黑体" w:cs="黑体"/>
              <w:kern w:val="44"/>
              <w:szCs w:val="28"/>
              <w:highlight w:val="none"/>
            </w:rPr>
            <w:t xml:space="preserve">  </w:t>
          </w:r>
          <w:r>
            <w:rPr>
              <w:rFonts w:hint="eastAsia" w:ascii="黑体" w:hAnsi="黑体" w:eastAsia="黑体" w:cs="黑体"/>
              <w:kern w:val="44"/>
              <w:szCs w:val="28"/>
              <w:highlight w:val="none"/>
            </w:rPr>
            <w:t>技术要求</w:t>
          </w:r>
          <w:r>
            <w:tab/>
          </w:r>
          <w:r>
            <w:fldChar w:fldCharType="begin"/>
          </w:r>
          <w:r>
            <w:instrText xml:space="preserve"> PAGEREF _Toc28293 \h </w:instrText>
          </w:r>
          <w:r>
            <w:fldChar w:fldCharType="separate"/>
          </w:r>
          <w:r>
            <w:t>- 21 -</w:t>
          </w:r>
          <w:r>
            <w:fldChar w:fldCharType="end"/>
          </w:r>
          <w:r>
            <w:rPr>
              <w:rFonts w:hint="eastAsia" w:ascii="Calibri" w:hAnsi="Calibri" w:eastAsia="宋体" w:cs="Times New Roman"/>
              <w:bCs/>
              <w:kern w:val="44"/>
              <w:szCs w:val="44"/>
            </w:rPr>
            <w:fldChar w:fldCharType="end"/>
          </w:r>
        </w:p>
        <w:p w14:paraId="343C98AF">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_Toc2566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第三章  供货范围及供货方式</w:t>
          </w:r>
          <w:r>
            <w:tab/>
          </w:r>
          <w:r>
            <w:fldChar w:fldCharType="begin"/>
          </w:r>
          <w:r>
            <w:instrText xml:space="preserve"> PAGEREF _Toc2566 \h </w:instrText>
          </w:r>
          <w:r>
            <w:fldChar w:fldCharType="separate"/>
          </w:r>
          <w:r>
            <w:t>- 30 -</w:t>
          </w:r>
          <w:r>
            <w:fldChar w:fldCharType="end"/>
          </w:r>
          <w:r>
            <w:rPr>
              <w:rFonts w:hint="eastAsia" w:ascii="Calibri" w:hAnsi="Calibri" w:eastAsia="宋体" w:cs="Times New Roman"/>
              <w:bCs/>
              <w:kern w:val="44"/>
              <w:szCs w:val="44"/>
            </w:rPr>
            <w:fldChar w:fldCharType="end"/>
          </w:r>
        </w:p>
        <w:p w14:paraId="74AF9627">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_Toc24457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第四章  质保期及售后服务</w:t>
          </w:r>
          <w:r>
            <w:tab/>
          </w:r>
          <w:r>
            <w:fldChar w:fldCharType="begin"/>
          </w:r>
          <w:r>
            <w:instrText xml:space="preserve"> PAGEREF _Toc24457 \h </w:instrText>
          </w:r>
          <w:r>
            <w:fldChar w:fldCharType="separate"/>
          </w:r>
          <w:r>
            <w:t>- 35 -</w:t>
          </w:r>
          <w:r>
            <w:fldChar w:fldCharType="end"/>
          </w:r>
          <w:r>
            <w:rPr>
              <w:rFonts w:hint="eastAsia" w:ascii="Calibri" w:hAnsi="Calibri" w:eastAsia="宋体" w:cs="Times New Roman"/>
              <w:bCs/>
              <w:kern w:val="44"/>
              <w:szCs w:val="44"/>
            </w:rPr>
            <w:fldChar w:fldCharType="end"/>
          </w:r>
        </w:p>
        <w:p w14:paraId="5DD673F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_Toc5083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第五章  验收</w:t>
          </w:r>
          <w:r>
            <w:tab/>
          </w:r>
          <w:r>
            <w:fldChar w:fldCharType="begin"/>
          </w:r>
          <w:r>
            <w:instrText xml:space="preserve"> PAGEREF _Toc5083 \h </w:instrText>
          </w:r>
          <w:r>
            <w:fldChar w:fldCharType="separate"/>
          </w:r>
          <w:r>
            <w:t>- 37 -</w:t>
          </w:r>
          <w:r>
            <w:fldChar w:fldCharType="end"/>
          </w:r>
          <w:r>
            <w:rPr>
              <w:rFonts w:hint="eastAsia" w:ascii="Calibri" w:hAnsi="Calibri" w:eastAsia="宋体" w:cs="Times New Roman"/>
              <w:bCs/>
              <w:kern w:val="44"/>
              <w:szCs w:val="44"/>
            </w:rPr>
            <w:fldChar w:fldCharType="end"/>
          </w:r>
        </w:p>
        <w:p w14:paraId="7E83E5F5">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_Toc4480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第六章  投标技术文件一般要求</w:t>
          </w:r>
          <w:r>
            <w:tab/>
          </w:r>
          <w:r>
            <w:fldChar w:fldCharType="begin"/>
          </w:r>
          <w:r>
            <w:instrText xml:space="preserve"> PAGEREF _Toc4480 \h </w:instrText>
          </w:r>
          <w:r>
            <w:fldChar w:fldCharType="separate"/>
          </w:r>
          <w:r>
            <w:t>- 41 -</w:t>
          </w:r>
          <w:r>
            <w:fldChar w:fldCharType="end"/>
          </w:r>
          <w:r>
            <w:rPr>
              <w:rFonts w:hint="eastAsia" w:ascii="Calibri" w:hAnsi="Calibri" w:eastAsia="宋体" w:cs="Times New Roman"/>
              <w:bCs/>
              <w:kern w:val="44"/>
              <w:szCs w:val="44"/>
            </w:rPr>
            <w:fldChar w:fldCharType="end"/>
          </w:r>
        </w:p>
        <w:p w14:paraId="2EED2AF7">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_Toc23858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第七章  其它要求及说明</w:t>
          </w:r>
          <w:r>
            <w:tab/>
          </w:r>
          <w:r>
            <w:fldChar w:fldCharType="begin"/>
          </w:r>
          <w:r>
            <w:instrText xml:space="preserve"> PAGEREF _Toc23858 \h </w:instrText>
          </w:r>
          <w:r>
            <w:fldChar w:fldCharType="separate"/>
          </w:r>
          <w:r>
            <w:t>- 43 -</w:t>
          </w:r>
          <w:r>
            <w:fldChar w:fldCharType="end"/>
          </w:r>
          <w:r>
            <w:rPr>
              <w:rFonts w:hint="eastAsia" w:ascii="Calibri" w:hAnsi="Calibri" w:eastAsia="宋体" w:cs="Times New Roman"/>
              <w:bCs/>
              <w:kern w:val="44"/>
              <w:szCs w:val="44"/>
            </w:rPr>
            <w:fldChar w:fldCharType="end"/>
          </w:r>
        </w:p>
        <w:p w14:paraId="63B4453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_Toc12009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_Toc12009 \h </w:instrText>
          </w:r>
          <w:r>
            <w:fldChar w:fldCharType="separate"/>
          </w:r>
          <w:r>
            <w:t>- 45 -</w:t>
          </w:r>
          <w:r>
            <w:fldChar w:fldCharType="end"/>
          </w:r>
          <w:r>
            <w:rPr>
              <w:rFonts w:hint="eastAsia" w:ascii="Calibri" w:hAnsi="Calibri" w:eastAsia="宋体" w:cs="Times New Roman"/>
              <w:bCs/>
              <w:kern w:val="44"/>
              <w:szCs w:val="44"/>
            </w:rPr>
            <w:fldChar w:fldCharType="end"/>
          </w:r>
        </w:p>
        <w:p w14:paraId="6441840E">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_Toc14376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_Toc14376 \h </w:instrText>
          </w:r>
          <w:r>
            <w:fldChar w:fldCharType="separate"/>
          </w:r>
          <w:r>
            <w:t>- 61 -</w:t>
          </w:r>
          <w:r>
            <w:fldChar w:fldCharType="end"/>
          </w:r>
          <w:r>
            <w:rPr>
              <w:rFonts w:hint="eastAsia" w:ascii="Calibri" w:hAnsi="Calibri" w:eastAsia="宋体" w:cs="Times New Roman"/>
              <w:bCs/>
              <w:kern w:val="44"/>
              <w:szCs w:val="44"/>
            </w:rPr>
            <w:fldChar w:fldCharType="end"/>
          </w:r>
        </w:p>
        <w:p w14:paraId="6617A57C">
          <w:pPr>
            <w:pStyle w:val="25"/>
            <w:tabs>
              <w:tab w:val="right" w:leader="dot" w:pos="8729"/>
            </w:tabs>
          </w:pPr>
          <w:r>
            <w:rPr>
              <w:rFonts w:hint="eastAsia" w:ascii="Calibri" w:hAnsi="Calibri" w:eastAsia="宋体" w:cs="Times New Roman"/>
              <w:bCs/>
              <w:kern w:val="44"/>
              <w:szCs w:val="44"/>
            </w:rPr>
            <w:fldChar w:fldCharType="end"/>
          </w:r>
        </w:p>
      </w:sdtContent>
    </w:sdt>
    <w:p w14:paraId="582BF911">
      <w:pPr>
        <w:pStyle w:val="17"/>
        <w:tabs>
          <w:tab w:val="left" w:pos="2940"/>
        </w:tabs>
        <w:spacing w:line="360" w:lineRule="auto"/>
      </w:pPr>
      <w:r>
        <w:tab/>
      </w:r>
    </w:p>
    <w:p w14:paraId="29FEE1FC">
      <w:pPr>
        <w:pStyle w:val="17"/>
        <w:spacing w:line="360" w:lineRule="auto"/>
        <w:jc w:val="center"/>
      </w:pPr>
    </w:p>
    <w:p w14:paraId="1A6E7B1A">
      <w:pPr>
        <w:pStyle w:val="17"/>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157"/>
      </w:pPr>
      <w:bookmarkStart w:id="3" w:name="_Toc1260"/>
      <w:bookmarkStart w:id="4" w:name="_Toc47976587"/>
      <w:r>
        <w:rPr>
          <w:rFonts w:hint="eastAsia"/>
        </w:rPr>
        <w:t>招标公告</w:t>
      </w:r>
      <w:bookmarkEnd w:id="3"/>
      <w:bookmarkEnd w:id="4"/>
    </w:p>
    <w:p w14:paraId="3B867C39">
      <w:pPr>
        <w:pStyle w:val="157"/>
        <w:rPr>
          <w:rFonts w:hint="eastAsia"/>
        </w:rPr>
      </w:pPr>
      <w:bookmarkStart w:id="5" w:name="_Toc15164"/>
      <w:bookmarkStart w:id="6" w:name="_Toc6410"/>
      <w:bookmarkStart w:id="7" w:name="_Toc32474"/>
      <w:bookmarkStart w:id="8" w:name="_Toc18859"/>
      <w:r>
        <w:rPr>
          <w:rFonts w:hint="eastAsia"/>
          <w:sz w:val="28"/>
        </w:rPr>
        <w:t>新能源轻卡怀挡车型改造项目-焊装线改造项目招标公告</w:t>
      </w:r>
      <w:bookmarkEnd w:id="5"/>
      <w:bookmarkEnd w:id="6"/>
      <w:bookmarkEnd w:id="7"/>
      <w:bookmarkEnd w:id="8"/>
    </w:p>
    <w:p w14:paraId="2A47C58A">
      <w:pPr>
        <w:pStyle w:val="158"/>
      </w:pPr>
      <w:bookmarkStart w:id="9" w:name="_Toc47976588"/>
      <w:r>
        <w:rPr>
          <w:rFonts w:hint="eastAsia"/>
        </w:rPr>
        <w:t>项目名称及项目编号</w:t>
      </w:r>
      <w:bookmarkEnd w:id="9"/>
    </w:p>
    <w:p w14:paraId="1E71F649">
      <w:pPr>
        <w:pStyle w:val="159"/>
        <w:rPr>
          <w:sz w:val="24"/>
          <w:szCs w:val="24"/>
          <w:highlight w:val="none"/>
        </w:rPr>
      </w:pPr>
      <w:r>
        <w:rPr>
          <w:rFonts w:hint="eastAsia"/>
          <w:sz w:val="24"/>
          <w:szCs w:val="24"/>
        </w:rPr>
        <w:t>项</w:t>
      </w:r>
      <w:r>
        <w:rPr>
          <w:rFonts w:hint="eastAsia"/>
          <w:sz w:val="24"/>
          <w:szCs w:val="24"/>
          <w:highlight w:val="none"/>
        </w:rPr>
        <w:t>目名称：</w:t>
      </w:r>
      <w:r>
        <w:rPr>
          <w:rFonts w:hint="eastAsia"/>
          <w:sz w:val="24"/>
          <w:szCs w:val="24"/>
          <w:highlight w:val="yellow"/>
        </w:rPr>
        <w:t>新能源轻卡怀挡车型改造项目-焊装线改造项目</w:t>
      </w:r>
    </w:p>
    <w:p w14:paraId="15020D03">
      <w:pPr>
        <w:pStyle w:val="159"/>
        <w:rPr>
          <w:sz w:val="24"/>
          <w:szCs w:val="24"/>
        </w:rPr>
      </w:pPr>
      <w:r>
        <w:rPr>
          <w:rFonts w:hint="eastAsia"/>
          <w:sz w:val="24"/>
          <w:szCs w:val="24"/>
        </w:rPr>
        <w:t>项目编号：</w:t>
      </w:r>
      <w:r>
        <w:rPr>
          <w:rFonts w:hint="eastAsia"/>
          <w:sz w:val="24"/>
          <w:szCs w:val="24"/>
          <w:highlight w:val="yellow"/>
        </w:rPr>
        <w:t>ZBGL2026020231</w:t>
      </w:r>
    </w:p>
    <w:p w14:paraId="0AB9F24D">
      <w:pPr>
        <w:pStyle w:val="158"/>
      </w:pPr>
      <w:bookmarkStart w:id="10" w:name="_Toc47976589"/>
      <w:r>
        <w:rPr>
          <w:rFonts w:hint="eastAsia"/>
          <w:lang w:val="en-US" w:eastAsia="zh-CN"/>
        </w:rPr>
        <w:t>项目概况</w:t>
      </w:r>
      <w:r>
        <w:rPr>
          <w:rFonts w:hint="eastAsia"/>
        </w:rPr>
        <w:t>及招标形式</w:t>
      </w:r>
      <w:bookmarkEnd w:id="10"/>
    </w:p>
    <w:p w14:paraId="1A912F05">
      <w:pPr>
        <w:pStyle w:val="159"/>
        <w:numPr>
          <w:ilvl w:val="0"/>
          <w:numId w:val="7"/>
        </w:numPr>
        <w:rPr>
          <w:sz w:val="24"/>
          <w:szCs w:val="24"/>
        </w:rPr>
      </w:pPr>
      <w:r>
        <w:rPr>
          <w:rFonts w:hint="eastAsia"/>
          <w:sz w:val="24"/>
          <w:szCs w:val="24"/>
        </w:rPr>
        <w:t>招标内容：</w:t>
      </w:r>
      <w:r>
        <w:rPr>
          <w:rFonts w:hint="eastAsia"/>
          <w:sz w:val="24"/>
          <w:szCs w:val="24"/>
          <w:highlight w:val="yellow"/>
          <w:lang w:val="en-US" w:eastAsia="zh-CN"/>
        </w:rPr>
        <w:t>对手工焊夹具进行</w:t>
      </w:r>
      <w:r>
        <w:rPr>
          <w:rFonts w:hint="eastAsia"/>
          <w:sz w:val="24"/>
          <w:szCs w:val="24"/>
          <w:highlight w:val="yellow"/>
        </w:rPr>
        <w:t>新增、改制，并对焊装线进行适应性改造。</w:t>
      </w:r>
    </w:p>
    <w:p w14:paraId="4EC58B63">
      <w:pPr>
        <w:pStyle w:val="159"/>
        <w:rPr>
          <w:sz w:val="24"/>
          <w:szCs w:val="24"/>
        </w:rPr>
      </w:pPr>
      <w:r>
        <w:rPr>
          <w:rFonts w:hint="eastAsia"/>
          <w:sz w:val="24"/>
          <w:szCs w:val="24"/>
        </w:rPr>
        <w:t>招标形式：</w:t>
      </w:r>
      <w:r>
        <w:rPr>
          <w:rFonts w:hint="eastAsia"/>
          <w:sz w:val="24"/>
          <w:szCs w:val="24"/>
          <w:highlight w:val="yellow"/>
        </w:rPr>
        <w:t>公开招标</w:t>
      </w:r>
    </w:p>
    <w:p w14:paraId="0B813421">
      <w:pPr>
        <w:pStyle w:val="158"/>
        <w:rPr>
          <w:highlight w:val="none"/>
        </w:rPr>
      </w:pPr>
      <w:bookmarkStart w:id="11" w:name="_Toc47976590"/>
      <w:r>
        <w:rPr>
          <w:rFonts w:hint="eastAsia"/>
          <w:highlight w:val="none"/>
        </w:rPr>
        <w:t>投标人资格要求</w:t>
      </w:r>
      <w:bookmarkEnd w:id="11"/>
      <w:r>
        <w:rPr>
          <w:rFonts w:hint="eastAsia"/>
          <w:highlight w:val="none"/>
          <w:lang w:eastAsia="zh-CN"/>
        </w:rPr>
        <w:t>：</w:t>
      </w:r>
    </w:p>
    <w:p w14:paraId="2C45CD6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bookmarkStart w:id="12" w:name="_Toc47976591"/>
      <w:r>
        <w:rPr>
          <w:rFonts w:hint="eastAsia" w:ascii="宋体"/>
          <w:b w:val="0"/>
          <w:bCs/>
          <w:strike w:val="0"/>
          <w:dstrike w:val="0"/>
          <w:highlight w:val="none"/>
        </w:rPr>
        <w:t>投标人须遵守《中华人民共和国招标投标法》及其它有关的法律和法规；为中华人民共和国境内注册的独立法人机构，具有独立承担民事责任能力；</w:t>
      </w:r>
    </w:p>
    <w:p w14:paraId="2065703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拟标投人必须是在中华人民共和国境内注册的独立法人机构，具有独立承担民事责任能力；注册资金不少于</w:t>
      </w:r>
      <w:r>
        <w:rPr>
          <w:rFonts w:hint="eastAsia" w:ascii="宋体"/>
          <w:b w:val="0"/>
          <w:bCs/>
          <w:strike w:val="0"/>
          <w:dstrike w:val="0"/>
          <w:highlight w:val="none"/>
          <w:u w:val="single"/>
          <w:lang w:val="en-US" w:eastAsia="zh-CN"/>
        </w:rPr>
        <w:t xml:space="preserve"> 500 </w:t>
      </w:r>
      <w:r>
        <w:rPr>
          <w:rFonts w:hint="eastAsia" w:ascii="宋体"/>
          <w:b w:val="0"/>
          <w:bCs/>
          <w:strike w:val="0"/>
          <w:dstrike w:val="0"/>
          <w:highlight w:val="none"/>
          <w:u w:val="single"/>
        </w:rPr>
        <w:t>万</w:t>
      </w:r>
      <w:r>
        <w:rPr>
          <w:rFonts w:hint="eastAsia" w:ascii="宋体"/>
          <w:b w:val="0"/>
          <w:bCs/>
          <w:strike w:val="0"/>
          <w:dstrike w:val="0"/>
          <w:highlight w:val="none"/>
        </w:rPr>
        <w:t>人民币（或等值其他货币）；公司成立</w:t>
      </w:r>
      <w:r>
        <w:rPr>
          <w:rFonts w:hint="eastAsia" w:ascii="宋体"/>
          <w:b w:val="0"/>
          <w:bCs/>
          <w:strike w:val="0"/>
          <w:dstrike w:val="0"/>
          <w:highlight w:val="none"/>
          <w:u w:val="single"/>
          <w:lang w:val="en-US" w:eastAsia="zh-CN"/>
        </w:rPr>
        <w:t xml:space="preserve">  3  </w:t>
      </w:r>
      <w:r>
        <w:rPr>
          <w:rFonts w:hint="eastAsia" w:ascii="宋体"/>
          <w:b w:val="0"/>
          <w:bCs/>
          <w:strike w:val="0"/>
          <w:dstrike w:val="0"/>
          <w:highlight w:val="none"/>
        </w:rPr>
        <w:t>年以上（以营业执照成立日期到开标当日满</w:t>
      </w:r>
      <w:r>
        <w:rPr>
          <w:rFonts w:hint="eastAsia" w:ascii="宋体"/>
          <w:b w:val="0"/>
          <w:bCs/>
          <w:strike w:val="0"/>
          <w:dstrike w:val="0"/>
          <w:highlight w:val="none"/>
          <w:lang w:val="en-US" w:eastAsia="zh-CN"/>
        </w:rPr>
        <w:t xml:space="preserve"> 3 </w:t>
      </w:r>
      <w:r>
        <w:rPr>
          <w:rFonts w:hint="eastAsia" w:ascii="宋体"/>
          <w:b w:val="0"/>
          <w:bCs/>
          <w:strike w:val="0"/>
          <w:dstrike w:val="0"/>
          <w:highlight w:val="none"/>
        </w:rPr>
        <w:t>年为准），且经营范围满足招标人需求；并在人员、设备、资金等方面具有承担本项目的能力</w:t>
      </w:r>
      <w:r>
        <w:rPr>
          <w:rFonts w:hint="eastAsia" w:ascii="宋体"/>
          <w:b w:val="0"/>
          <w:bCs/>
          <w:strike w:val="0"/>
          <w:dstrike w:val="0"/>
          <w:highlight w:val="none"/>
          <w:lang w:eastAsia="zh-CN"/>
        </w:rPr>
        <w:t>，且满足技术、质量、资金等要求</w:t>
      </w:r>
      <w:r>
        <w:rPr>
          <w:rFonts w:hint="eastAsia" w:ascii="宋体"/>
          <w:b w:val="0"/>
          <w:bCs/>
          <w:strike w:val="0"/>
          <w:dstrike w:val="0"/>
          <w:highlight w:val="none"/>
        </w:rPr>
        <w:t>；</w:t>
      </w:r>
    </w:p>
    <w:p w14:paraId="678B14CD">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3AD6E5C3">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拟投标人在“国家企业信用信息公示系统”、“中国执行信息公开网”、“信用中国”、“天眼查”“裁判文书网”等信息平台中，无行政处罚及失信记录等信息；</w:t>
      </w:r>
    </w:p>
    <w:p w14:paraId="1AD7B3BA">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无招标违规、谎报年度报告信息、提供虚假资质资料等行为或其他行政处罚记录；</w:t>
      </w:r>
    </w:p>
    <w:p w14:paraId="26DB04CF">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近三年内在经营活动中无与本项目有关的违法及重大违规情况</w:t>
      </w:r>
      <w:r>
        <w:rPr>
          <w:rFonts w:hint="eastAsia" w:ascii="宋体"/>
          <w:b w:val="0"/>
          <w:bCs/>
          <w:strike w:val="0"/>
          <w:dstrike w:val="0"/>
          <w:highlight w:val="none"/>
          <w:lang w:eastAsia="zh-CN"/>
        </w:rPr>
        <w:t>；</w:t>
      </w:r>
    </w:p>
    <w:p w14:paraId="289F54E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投标人没有被列入招标人处《黑名单》（《黑名单》指投标人与招标人在以往或正在进行的合作中，存在招标人认为的违反合同约定或违反法律法规等的失信行为）的</w:t>
      </w:r>
      <w:r>
        <w:rPr>
          <w:rFonts w:hint="eastAsia" w:ascii="宋体"/>
          <w:b w:val="0"/>
          <w:bCs/>
          <w:strike w:val="0"/>
          <w:dstrike w:val="0"/>
          <w:highlight w:val="none"/>
          <w:lang w:val="en-US" w:eastAsia="zh-CN"/>
        </w:rPr>
        <w:t>声明</w:t>
      </w:r>
      <w:r>
        <w:rPr>
          <w:rFonts w:hint="eastAsia" w:ascii="宋体"/>
          <w:b w:val="0"/>
          <w:bCs/>
          <w:strike w:val="0"/>
          <w:dstrike w:val="0"/>
          <w:highlight w:val="none"/>
        </w:rPr>
        <w:t>；</w:t>
      </w:r>
    </w:p>
    <w:p w14:paraId="14202797">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公司经营范围满足招标项目需求；</w:t>
      </w:r>
    </w:p>
    <w:p w14:paraId="4A68BEA4">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投标人须具有履行招标文件所有设备、专业技术等要求的能力；</w:t>
      </w:r>
    </w:p>
    <w:p w14:paraId="6411B33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投标人须有依法缴纳税收和社会保障资金的良好记录；</w:t>
      </w:r>
    </w:p>
    <w:p w14:paraId="4B30D5E2">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具有本次招标货物的供货、安装、售后服务等的相应资质；</w:t>
      </w:r>
    </w:p>
    <w:p w14:paraId="79E64F13">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投标人须负责提供合理的便于运输的包装物，并承担相关费用</w:t>
      </w:r>
      <w:r>
        <w:rPr>
          <w:rFonts w:hint="eastAsia" w:ascii="宋体"/>
          <w:b w:val="0"/>
          <w:bCs/>
          <w:strike w:val="0"/>
          <w:dstrike w:val="0"/>
          <w:highlight w:val="none"/>
          <w:lang w:eastAsia="zh-CN"/>
        </w:rPr>
        <w:t>；</w:t>
      </w:r>
    </w:p>
    <w:p w14:paraId="563CAAA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投标人须认可招标人的工作指令，包括节、假日能正常开展工作的要求。</w:t>
      </w:r>
    </w:p>
    <w:p w14:paraId="6D0DA0F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lang w:val="en-US" w:eastAsia="zh-CN"/>
        </w:rPr>
        <w:t>拟投标人的直接或间接股东、法定代表人、董事、监事、高管非重汽员工及其亲属；</w:t>
      </w:r>
    </w:p>
    <w:p w14:paraId="2280F191">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投标人必须是最终投标、签订合同的单位，不得以任何理由将已中标项目以任何形式转包或者分包给其他单位</w:t>
      </w:r>
      <w:r>
        <w:rPr>
          <w:rFonts w:hint="eastAsia" w:ascii="宋体"/>
          <w:b w:val="0"/>
          <w:bCs/>
          <w:strike w:val="0"/>
          <w:dstrike w:val="0"/>
          <w:highlight w:val="none"/>
          <w:lang w:eastAsia="zh-CN"/>
        </w:rPr>
        <w:t>；</w:t>
      </w:r>
    </w:p>
    <w:p w14:paraId="5ED4DDBF">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本次招标项目不接受联合体投标</w:t>
      </w:r>
      <w:r>
        <w:rPr>
          <w:rFonts w:hint="eastAsia" w:ascii="宋体"/>
          <w:b w:val="0"/>
          <w:bCs/>
          <w:strike w:val="0"/>
          <w:dstrike w:val="0"/>
          <w:highlight w:val="none"/>
          <w:lang w:eastAsia="zh-CN"/>
        </w:rPr>
        <w:t>，不允许代理商参标；</w:t>
      </w:r>
    </w:p>
    <w:p w14:paraId="29ED9210">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法律、行政法规规定的其他条件</w:t>
      </w:r>
      <w:r>
        <w:rPr>
          <w:rFonts w:hint="eastAsia" w:ascii="宋体"/>
          <w:b w:val="0"/>
          <w:bCs/>
          <w:strike w:val="0"/>
          <w:dstrike w:val="0"/>
          <w:highlight w:val="none"/>
          <w:lang w:eastAsia="zh-CN"/>
        </w:rPr>
        <w:t>；</w:t>
      </w:r>
    </w:p>
    <w:p w14:paraId="76B97D53">
      <w:pPr>
        <w:pStyle w:val="158"/>
        <w:rPr>
          <w:highlight w:val="none"/>
        </w:rPr>
      </w:pPr>
      <w:r>
        <w:rPr>
          <w:rFonts w:hint="eastAsia"/>
          <w:highlight w:val="none"/>
        </w:rPr>
        <w:t>报名及招标文件的获取</w:t>
      </w:r>
      <w:bookmarkEnd w:id="12"/>
    </w:p>
    <w:p w14:paraId="5DF18DB2">
      <w:pPr>
        <w:pStyle w:val="15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rPr>
        <w:t>中国重汽</w:t>
      </w:r>
      <w:r>
        <w:rPr>
          <w:rFonts w:hint="eastAsia" w:ascii="宋体" w:hAnsi="宋体" w:eastAsia="宋体" w:cs="宋体"/>
          <w:b w:val="0"/>
          <w:bCs w:val="0"/>
          <w:color w:val="000000"/>
          <w:sz w:val="24"/>
          <w:szCs w:val="24"/>
          <w:lang w:val="en-US" w:eastAsia="zh-CN"/>
        </w:rPr>
        <w:t>官网+重汽e采通</w:t>
      </w:r>
    </w:p>
    <w:p w14:paraId="4509C0DA">
      <w:pPr>
        <w:pStyle w:val="158"/>
        <w:rPr>
          <w:rFonts w:hint="eastAsia" w:cs="Times New Roman"/>
          <w:highlight w:val="none"/>
        </w:rPr>
      </w:pPr>
      <w:bookmarkStart w:id="13" w:name="_Toc47976592"/>
      <w:r>
        <w:rPr>
          <w:rFonts w:hint="eastAsia" w:cs="Times New Roman"/>
          <w:highlight w:val="none"/>
        </w:rPr>
        <w:t>投标文件的递交</w:t>
      </w:r>
      <w:bookmarkEnd w:id="13"/>
    </w:p>
    <w:p w14:paraId="29499F7F">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bCs/>
          <w:color w:val="000000"/>
          <w:sz w:val="24"/>
          <w:szCs w:val="24"/>
          <w:lang w:val="en-US" w:eastAsia="zh-CN"/>
        </w:rPr>
        <w:t>1、报名方式：</w:t>
      </w:r>
      <w:r>
        <w:rPr>
          <w:rFonts w:hint="eastAsia" w:ascii="宋体" w:hAnsi="宋体" w:eastAsia="宋体" w:cs="宋体"/>
          <w:b w:val="0"/>
          <w:bCs w:val="0"/>
          <w:color w:val="000000"/>
          <w:sz w:val="24"/>
          <w:szCs w:val="24"/>
        </w:rPr>
        <w:t>拟投标人根据招标人在中国重汽官网等公开媒体上发布的招标信息，在“中国重汽e采通”平台报名。按照中国重汽e采通“SRM非生产供应商注册手册”（附件</w:t>
      </w:r>
      <w:r>
        <w:rPr>
          <w:rFonts w:hint="eastAsia" w:hAnsi="宋体" w:eastAsia="宋体" w:cs="宋体"/>
          <w:b w:val="0"/>
          <w:bCs w:val="0"/>
          <w:color w:val="000000"/>
          <w:sz w:val="24"/>
          <w:szCs w:val="24"/>
          <w:lang w:val="en-US" w:eastAsia="zh-CN"/>
        </w:rPr>
        <w:t>16</w:t>
      </w:r>
      <w:r>
        <w:rPr>
          <w:rFonts w:hint="eastAsia" w:ascii="宋体" w:hAnsi="宋体" w:eastAsia="宋体" w:cs="宋体"/>
          <w:b w:val="0"/>
          <w:bCs w:val="0"/>
          <w:color w:val="000000"/>
          <w:sz w:val="24"/>
          <w:szCs w:val="24"/>
        </w:rPr>
        <w:t>）进行注册，注册完毕后按照“SRM系统供应商用户手册（附件1</w:t>
      </w:r>
      <w:r>
        <w:rPr>
          <w:rFonts w:hint="eastAsia" w:hAnsi="宋体" w:eastAsia="宋体" w:cs="宋体"/>
          <w:b w:val="0"/>
          <w:bCs w:val="0"/>
          <w:color w:val="000000"/>
          <w:sz w:val="24"/>
          <w:szCs w:val="24"/>
          <w:lang w:val="en-US" w:eastAsia="zh-CN"/>
        </w:rPr>
        <w:t>7</w:t>
      </w:r>
      <w:r>
        <w:rPr>
          <w:rFonts w:hint="eastAsia" w:ascii="宋体" w:hAnsi="宋体" w:eastAsia="宋体" w:cs="宋体"/>
          <w:b w:val="0"/>
          <w:bCs w:val="0"/>
          <w:color w:val="000000"/>
          <w:sz w:val="24"/>
          <w:szCs w:val="24"/>
        </w:rPr>
        <w:t>）”，登录重汽e采通平台后进入“供应商应标”，选择对应的项目，点击“应标”后按照招标文件第三部分投标文件组成资格证明文件中的1.1-1.13准备资料并上传，资质审查通过即为报名成功；公示期间请尽快报名。</w:t>
      </w:r>
    </w:p>
    <w:p w14:paraId="74F16209">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报名时提供的资料不合格的会在系统被驳回，请及时查阅审核状态并及时补齐资料，不能按时补充资料的视为自动放弃本次投标。</w:t>
      </w:r>
    </w:p>
    <w:p w14:paraId="0E7E22E6">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请投标人自行确认中国重汽e采通系统中供应商信息完整、准确，因供应商信息不全或错误导致的报名不成功，由投标人自行承担。</w:t>
      </w:r>
    </w:p>
    <w:p w14:paraId="31DAA47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7405165">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highlight w:val="yellow"/>
          <w:lang w:val="en-US" w:eastAsia="zh-CN"/>
        </w:rPr>
        <w:t>应标截止时间</w:t>
      </w:r>
      <w:r>
        <w:rPr>
          <w:rFonts w:hint="eastAsia" w:ascii="宋体" w:hAnsi="宋体" w:eastAsia="宋体" w:cs="宋体"/>
          <w:b w:val="0"/>
          <w:bCs w:val="0"/>
          <w:color w:val="000000"/>
          <w:sz w:val="24"/>
          <w:szCs w:val="24"/>
          <w:highlight w:val="yellow"/>
          <w:lang w:val="en-US" w:eastAsia="zh-CN"/>
        </w:rPr>
        <w:t>：2026年4月</w:t>
      </w:r>
      <w:r>
        <w:rPr>
          <w:rFonts w:hint="eastAsia" w:hAnsi="宋体" w:eastAsia="宋体" w:cs="宋体"/>
          <w:b w:val="0"/>
          <w:bCs w:val="0"/>
          <w:color w:val="000000"/>
          <w:sz w:val="24"/>
          <w:szCs w:val="24"/>
          <w:highlight w:val="yellow"/>
          <w:lang w:val="en-US" w:eastAsia="zh-CN"/>
        </w:rPr>
        <w:t>28</w:t>
      </w:r>
      <w:r>
        <w:rPr>
          <w:rFonts w:hint="eastAsia" w:ascii="宋体" w:hAnsi="宋体" w:eastAsia="宋体" w:cs="宋体"/>
          <w:b w:val="0"/>
          <w:bCs w:val="0"/>
          <w:color w:val="000000"/>
          <w:sz w:val="24"/>
          <w:szCs w:val="24"/>
          <w:highlight w:val="yellow"/>
          <w:lang w:val="en-US" w:eastAsia="zh-CN"/>
        </w:rPr>
        <w:t>日17时00分00秒</w:t>
      </w:r>
    </w:p>
    <w:p w14:paraId="12959CF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注：请务必在应标截止时间前完成注册及应标操作，注册审核需2-4日，应标截止时间精确到秒，逾期将无法应标。请自行掌握时间，避免无法应标。</w:t>
      </w:r>
    </w:p>
    <w:p w14:paraId="700EB19F">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bCs/>
          <w:color w:val="000000"/>
          <w:sz w:val="24"/>
          <w:szCs w:val="24"/>
          <w:lang w:val="en-US" w:eastAsia="zh-CN"/>
        </w:rPr>
        <w:t>3、投标方式</w:t>
      </w:r>
      <w:r>
        <w:rPr>
          <w:rFonts w:hint="eastAsia" w:ascii="宋体" w:hAnsi="宋体" w:eastAsia="宋体" w:cs="宋体"/>
          <w:b w:val="0"/>
          <w:bCs w:val="0"/>
          <w:color w:val="000000"/>
          <w:sz w:val="24"/>
          <w:szCs w:val="24"/>
          <w:lang w:val="en-US" w:eastAsia="zh-CN"/>
        </w:rPr>
        <w:t>：</w:t>
      </w:r>
      <w:r>
        <w:rPr>
          <w:rFonts w:hint="eastAsia" w:ascii="宋体" w:hAnsi="宋体" w:eastAsia="宋体" w:cs="宋体"/>
          <w:b/>
          <w:bCs/>
          <w:color w:val="000000"/>
          <w:sz w:val="24"/>
          <w:szCs w:val="24"/>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b w:val="0"/>
          <w:bCs w:val="0"/>
          <w:color w:val="000000"/>
          <w:sz w:val="24"/>
          <w:szCs w:val="24"/>
          <w:lang w:val="en-US" w:eastAsia="zh-CN"/>
        </w:rPr>
        <w:t>，若逾期未在中国重汽e采通平台上传电子标书，即便递交了纸版投标文件，一律视为无效投标。</w:t>
      </w:r>
    </w:p>
    <w:p w14:paraId="40141445">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纸质版投标文件的份数要求为正本一份，副本四份，资质投标书、技术投标书及商务投标书的同类文件封装在一个包封里，包封表面按照附件13标注文件信息；共计三个包封。</w:t>
      </w:r>
    </w:p>
    <w:p w14:paraId="64E5D85A">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如选择到场参与开标，自行携带纸质投标文件于开标前至开标地点即可。</w:t>
      </w:r>
    </w:p>
    <w:p w14:paraId="69C6573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如选择线上参与开标，纸质投标文件需在开标日前两天，邮寄到指定地址。</w:t>
      </w:r>
    </w:p>
    <w:p w14:paraId="28CA4BC0">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邮寄地址：山东省济南市章丘区潘王路东园区十一号路北，重汽（济南）轻卡有限公司</w:t>
      </w:r>
    </w:p>
    <w:p w14:paraId="2DC5F1AF">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联系人及联系方式：许娅楠/15002582216</w:t>
      </w:r>
    </w:p>
    <w:p w14:paraId="4E2904DA">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p w14:paraId="0BDBF25C">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Ansi="宋体" w:eastAsia="宋体" w:cs="宋体"/>
          <w:sz w:val="24"/>
          <w:szCs w:val="24"/>
        </w:rPr>
      </w:pPr>
      <w:r>
        <w:rPr>
          <w:rFonts w:hint="eastAsia" w:ascii="宋体" w:hAnsi="宋体" w:eastAsia="宋体" w:cs="宋体"/>
          <w:b w:val="0"/>
          <w:bCs w:val="0"/>
          <w:color w:val="000000"/>
          <w:sz w:val="24"/>
          <w:szCs w:val="24"/>
          <w:lang w:val="en-US" w:eastAsia="zh-CN"/>
        </w:rPr>
        <w:t>4、</w:t>
      </w:r>
      <w:r>
        <w:rPr>
          <w:rFonts w:hint="eastAsia" w:hAnsi="宋体" w:eastAsia="宋体" w:cs="宋体"/>
          <w:b/>
          <w:bCs/>
          <w:sz w:val="24"/>
          <w:szCs w:val="24"/>
          <w:highlight w:val="yellow"/>
        </w:rPr>
        <w:t>投标文件递交截止时间：</w:t>
      </w:r>
      <w:r>
        <w:rPr>
          <w:rFonts w:hint="eastAsia" w:ascii="宋体" w:hAnsi="宋体" w:eastAsia="宋体" w:cs="宋体"/>
          <w:bCs/>
          <w:sz w:val="24"/>
          <w:szCs w:val="24"/>
          <w:highlight w:val="yellow"/>
        </w:rPr>
        <w:t>2026年</w:t>
      </w:r>
      <w:r>
        <w:rPr>
          <w:rFonts w:hint="eastAsia" w:hAnsi="宋体" w:eastAsia="宋体" w:cs="宋体"/>
          <w:bCs/>
          <w:sz w:val="24"/>
          <w:szCs w:val="24"/>
          <w:highlight w:val="yellow"/>
          <w:lang w:val="en-US" w:eastAsia="zh-CN"/>
        </w:rPr>
        <w:t>5</w:t>
      </w:r>
      <w:r>
        <w:rPr>
          <w:rFonts w:hint="eastAsia" w:ascii="宋体" w:hAnsi="宋体" w:eastAsia="宋体" w:cs="宋体"/>
          <w:bCs/>
          <w:sz w:val="24"/>
          <w:szCs w:val="24"/>
          <w:highlight w:val="yellow"/>
        </w:rPr>
        <w:t>月</w:t>
      </w:r>
      <w:r>
        <w:rPr>
          <w:rFonts w:hint="eastAsia" w:hAnsi="宋体" w:eastAsia="宋体" w:cs="宋体"/>
          <w:bCs/>
          <w:sz w:val="24"/>
          <w:szCs w:val="24"/>
          <w:highlight w:val="yellow"/>
          <w:lang w:val="en-US" w:eastAsia="zh-CN"/>
        </w:rPr>
        <w:t>9</w:t>
      </w:r>
      <w:r>
        <w:rPr>
          <w:rFonts w:hint="eastAsia" w:ascii="宋体" w:hAnsi="宋体" w:eastAsia="宋体" w:cs="宋体"/>
          <w:bCs/>
          <w:sz w:val="24"/>
          <w:szCs w:val="24"/>
          <w:highlight w:val="yellow"/>
        </w:rPr>
        <w:t>日上午9:00:00（北京时间）</w:t>
      </w:r>
    </w:p>
    <w:p w14:paraId="33A24519">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 w:val="0"/>
          <w:bCs w:val="0"/>
          <w:color w:val="000000"/>
          <w:sz w:val="24"/>
          <w:szCs w:val="24"/>
          <w:lang w:val="en-US" w:eastAsia="zh-CN"/>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p w14:paraId="27B65ABD">
      <w:pPr>
        <w:pStyle w:val="158"/>
        <w:rPr>
          <w:highlight w:val="none"/>
        </w:rPr>
      </w:pPr>
      <w:r>
        <w:rPr>
          <w:rFonts w:hint="eastAsia"/>
          <w:highlight w:val="none"/>
          <w:lang w:val="en-US" w:eastAsia="zh-CN"/>
        </w:rPr>
        <w:t>开标时间和地点</w:t>
      </w:r>
    </w:p>
    <w:p w14:paraId="560C27C9">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开标时间：2026年</w:t>
      </w:r>
      <w:r>
        <w:rPr>
          <w:rFonts w:hint="eastAsia" w:hAnsi="宋体" w:eastAsia="宋体" w:cs="宋体"/>
          <w:b w:val="0"/>
          <w:bCs w:val="0"/>
          <w:color w:val="000000"/>
          <w:sz w:val="24"/>
          <w:szCs w:val="24"/>
          <w:highlight w:val="yellow"/>
          <w:lang w:val="en-US" w:eastAsia="zh-CN"/>
        </w:rPr>
        <w:t>5</w:t>
      </w:r>
      <w:r>
        <w:rPr>
          <w:rFonts w:hint="eastAsia" w:ascii="宋体" w:hAnsi="宋体" w:eastAsia="宋体" w:cs="宋体"/>
          <w:b w:val="0"/>
          <w:bCs w:val="0"/>
          <w:color w:val="000000"/>
          <w:sz w:val="24"/>
          <w:szCs w:val="24"/>
          <w:highlight w:val="yellow"/>
        </w:rPr>
        <w:t>月</w:t>
      </w:r>
      <w:r>
        <w:rPr>
          <w:rFonts w:hint="eastAsia" w:hAnsi="宋体" w:eastAsia="宋体" w:cs="宋体"/>
          <w:b w:val="0"/>
          <w:bCs w:val="0"/>
          <w:color w:val="000000"/>
          <w:sz w:val="24"/>
          <w:szCs w:val="24"/>
          <w:highlight w:val="yellow"/>
          <w:lang w:val="en-US" w:eastAsia="zh-CN"/>
        </w:rPr>
        <w:t>9</w:t>
      </w:r>
      <w:r>
        <w:rPr>
          <w:rFonts w:hint="eastAsia" w:ascii="宋体" w:hAnsi="宋体" w:eastAsia="宋体" w:cs="宋体"/>
          <w:b w:val="0"/>
          <w:bCs w:val="0"/>
          <w:color w:val="000000"/>
          <w:sz w:val="24"/>
          <w:szCs w:val="24"/>
          <w:highlight w:val="yellow"/>
        </w:rPr>
        <w:t>日9:00:00。</w:t>
      </w:r>
    </w:p>
    <w:p w14:paraId="3BD030B0">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开标地点：山东省济南市章丘区潘王路东园区十一号路北，济南轻卡制造公司</w:t>
      </w:r>
    </w:p>
    <w:p w14:paraId="22385406">
      <w:pPr>
        <w:pStyle w:val="158"/>
      </w:pPr>
      <w:bookmarkStart w:id="14" w:name="_Toc47976593"/>
      <w:r>
        <w:rPr>
          <w:rFonts w:hint="eastAsia"/>
        </w:rPr>
        <w:t>招标公告发布媒介</w:t>
      </w:r>
      <w:bookmarkEnd w:id="14"/>
    </w:p>
    <w:p w14:paraId="15C59335">
      <w:pPr>
        <w:pStyle w:val="159"/>
        <w:keepNext w:val="0"/>
        <w:keepLines w:val="0"/>
        <w:pageBreakBefore w:val="0"/>
        <w:widowControl w:val="0"/>
        <w:numPr>
          <w:ilvl w:val="0"/>
          <w:numId w:val="0"/>
        </w:numPr>
        <w:kinsoku/>
        <w:wordWrap/>
        <w:overflowPunct/>
        <w:topLinePunct w:val="0"/>
        <w:autoSpaceDE/>
        <w:autoSpaceDN/>
        <w:bidi w:val="0"/>
        <w:adjustRightInd/>
        <w:snapToGrid/>
        <w:ind w:left="0" w:firstLine="480" w:firstLineChars="200"/>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中国重汽官网+中国重汽e采通等公开媒体公布</w:t>
      </w:r>
    </w:p>
    <w:p w14:paraId="65FC2213">
      <w:pPr>
        <w:pStyle w:val="158"/>
        <w:rPr>
          <w:highlight w:val="none"/>
        </w:rPr>
      </w:pPr>
      <w:bookmarkStart w:id="15" w:name="_Toc47976594"/>
      <w:r>
        <w:rPr>
          <w:rFonts w:hint="eastAsia"/>
          <w:highlight w:val="none"/>
        </w:rPr>
        <w:t>联系方式</w:t>
      </w:r>
      <w:bookmarkEnd w:id="15"/>
    </w:p>
    <w:p w14:paraId="4860353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2DE6C24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7C80DE9B">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2D176DF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15D8724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p w14:paraId="6782BA33">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乔建华</w:t>
      </w:r>
    </w:p>
    <w:p w14:paraId="662F72A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15610036410</w:t>
      </w:r>
    </w:p>
    <w:p w14:paraId="05357BC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qiaojianhua@sinotruk.com</w:t>
      </w:r>
    </w:p>
    <w:p w14:paraId="6D4C3503">
      <w:pPr>
        <w:pStyle w:val="160"/>
      </w:pPr>
    </w:p>
    <w:p w14:paraId="70A7FEA7">
      <w:pPr>
        <w:pStyle w:val="160"/>
        <w:jc w:val="both"/>
        <w:rPr>
          <w:rFonts w:hint="default"/>
          <w:highlight w:val="cyan"/>
          <w:u w:val="single"/>
          <w:lang w:val="en-US" w:eastAsia="zh-CN"/>
        </w:rPr>
      </w:pPr>
    </w:p>
    <w:p w14:paraId="3A7E2D48">
      <w:pPr>
        <w:pStyle w:val="160"/>
        <w:jc w:val="right"/>
        <w:rPr>
          <w:rFonts w:hint="eastAsia"/>
          <w:highlight w:val="cyan"/>
          <w:u w:val="single"/>
          <w:lang w:val="en-US" w:eastAsia="zh-CN"/>
        </w:rPr>
      </w:pPr>
    </w:p>
    <w:p w14:paraId="22C6BEDA">
      <w:pPr>
        <w:pStyle w:val="160"/>
        <w:jc w:val="right"/>
        <w:rPr>
          <w:rFonts w:hint="eastAsia"/>
          <w:highlight w:val="cyan"/>
          <w:u w:val="single"/>
          <w:lang w:val="en-US" w:eastAsia="zh-CN"/>
        </w:rPr>
      </w:pPr>
    </w:p>
    <w:p w14:paraId="410F58AB">
      <w:pPr>
        <w:pStyle w:val="160"/>
        <w:ind w:firstLine="6510" w:firstLineChars="3100"/>
        <w:jc w:val="both"/>
      </w:pPr>
      <w:r>
        <w:rPr>
          <w:rFonts w:hint="eastAsia"/>
          <w:highlight w:val="none"/>
          <w:u w:val="single"/>
          <w:lang w:val="en-US" w:eastAsia="zh-CN"/>
        </w:rPr>
        <w:t>2026</w:t>
      </w:r>
      <w:r>
        <w:rPr>
          <w:rFonts w:hint="eastAsia"/>
        </w:rPr>
        <w:t>年</w:t>
      </w:r>
      <w:r>
        <w:rPr>
          <w:rFonts w:hint="eastAsia"/>
          <w:u w:val="single"/>
          <w:lang w:val="en-US" w:eastAsia="zh-CN"/>
        </w:rPr>
        <w:t>02</w:t>
      </w:r>
      <w:r>
        <w:rPr>
          <w:rFonts w:hint="eastAsia"/>
        </w:rPr>
        <w:t>月</w:t>
      </w:r>
      <w:r>
        <w:rPr>
          <w:rFonts w:hint="eastAsia"/>
          <w:u w:val="single"/>
          <w:lang w:val="en-US" w:eastAsia="zh-CN"/>
        </w:rPr>
        <w:t>25</w:t>
      </w:r>
      <w:r>
        <w:rPr>
          <w:rFonts w:hint="eastAsia"/>
        </w:rPr>
        <w:t>日</w:t>
      </w:r>
    </w:p>
    <w:p w14:paraId="04C96706">
      <w:pPr>
        <w:pStyle w:val="160"/>
      </w:pPr>
    </w:p>
    <w:p w14:paraId="58FAC62D">
      <w:pPr>
        <w:pStyle w:val="160"/>
        <w:sectPr>
          <w:headerReference r:id="rId7" w:type="first"/>
          <w:footerReference r:id="rId9" w:type="first"/>
          <w:footerReference r:id="rId8" w:type="default"/>
          <w:pgSz w:w="11906" w:h="16838"/>
          <w:pgMar w:top="1701" w:right="1418" w:bottom="1134" w:left="1418" w:header="851" w:footer="992" w:gutter="0"/>
          <w:pgNumType w:fmt="numberInDash" w:start="1"/>
          <w:cols w:space="720" w:num="1"/>
          <w:titlePg/>
          <w:docGrid w:type="lines" w:linePitch="312" w:charSpace="0"/>
        </w:sectPr>
      </w:pPr>
    </w:p>
    <w:p w14:paraId="3D820EEC">
      <w:pPr>
        <w:pStyle w:val="157"/>
      </w:pPr>
      <w:bookmarkStart w:id="16" w:name="_Toc6686"/>
      <w:bookmarkStart w:id="17" w:name="_Toc47976595"/>
      <w:r>
        <w:rPr>
          <w:rFonts w:hint="eastAsia"/>
        </w:rPr>
        <w:t>第一部分  投标人须知</w:t>
      </w:r>
      <w:bookmarkEnd w:id="16"/>
      <w:bookmarkEnd w:id="17"/>
    </w:p>
    <w:p w14:paraId="418340FC">
      <w:pPr>
        <w:pStyle w:val="158"/>
        <w:numPr>
          <w:ilvl w:val="0"/>
          <w:numId w:val="9"/>
        </w:numPr>
        <w:ind w:left="420"/>
        <w:jc w:val="left"/>
      </w:pPr>
      <w:bookmarkStart w:id="18" w:name="_Toc47976596"/>
      <w:r>
        <w:rPr>
          <w:rFonts w:hint="eastAsia"/>
        </w:rPr>
        <w:t>项目介绍</w:t>
      </w:r>
      <w:bookmarkEnd w:id="18"/>
    </w:p>
    <w:p w14:paraId="6360E7CD">
      <w:pPr>
        <w:pStyle w:val="160"/>
        <w:numPr>
          <w:ilvl w:val="0"/>
          <w:numId w:val="10"/>
        </w:numPr>
        <w:ind w:left="425" w:leftChars="0" w:hanging="425" w:firstLineChars="0"/>
        <w:rPr>
          <w:b/>
          <w:bCs/>
          <w:sz w:val="24"/>
          <w:szCs w:val="24"/>
          <w:highlight w:val="none"/>
        </w:rPr>
      </w:pPr>
      <w:r>
        <w:rPr>
          <w:rFonts w:hint="eastAsia"/>
          <w:b/>
          <w:bCs/>
          <w:sz w:val="24"/>
          <w:szCs w:val="24"/>
          <w:highlight w:val="none"/>
        </w:rPr>
        <w:t>项目名称：</w:t>
      </w:r>
      <w:r>
        <w:rPr>
          <w:rFonts w:hint="eastAsia"/>
          <w:b/>
          <w:bCs/>
          <w:sz w:val="28"/>
          <w:szCs w:val="28"/>
          <w:highlight w:val="yellow"/>
        </w:rPr>
        <w:t>新能源轻卡怀挡车型改造项目-焊装线改造项目</w:t>
      </w:r>
    </w:p>
    <w:p w14:paraId="17A97EAA">
      <w:pPr>
        <w:pStyle w:val="160"/>
        <w:numPr>
          <w:ilvl w:val="0"/>
          <w:numId w:val="10"/>
        </w:numPr>
        <w:ind w:left="425" w:leftChars="0" w:hanging="425" w:firstLineChars="0"/>
        <w:rPr>
          <w:b/>
          <w:bCs/>
          <w:sz w:val="24"/>
          <w:szCs w:val="24"/>
          <w:highlight w:val="none"/>
        </w:rPr>
      </w:pPr>
      <w:r>
        <w:rPr>
          <w:rFonts w:hint="eastAsia"/>
          <w:b/>
          <w:bCs/>
          <w:sz w:val="24"/>
          <w:szCs w:val="24"/>
          <w:highlight w:val="none"/>
        </w:rPr>
        <w:t>项目编号：</w:t>
      </w:r>
      <w:r>
        <w:rPr>
          <w:rFonts w:hint="eastAsia" w:ascii="宋体"/>
          <w:b/>
          <w:bCs/>
          <w:sz w:val="28"/>
          <w:szCs w:val="28"/>
          <w:highlight w:val="yellow"/>
        </w:rPr>
        <w:t>ZBGL2026020231</w:t>
      </w:r>
    </w:p>
    <w:p w14:paraId="5C6CF568">
      <w:pPr>
        <w:pStyle w:val="160"/>
        <w:numPr>
          <w:ilvl w:val="0"/>
          <w:numId w:val="10"/>
        </w:numPr>
        <w:ind w:left="425" w:leftChars="0" w:hanging="425" w:firstLineChars="0"/>
        <w:rPr>
          <w:b/>
          <w:bCs/>
          <w:sz w:val="24"/>
          <w:szCs w:val="24"/>
          <w:highlight w:val="none"/>
        </w:rPr>
      </w:pPr>
      <w:r>
        <w:rPr>
          <w:rFonts w:hint="eastAsia"/>
          <w:b/>
          <w:bCs/>
          <w:sz w:val="24"/>
          <w:szCs w:val="24"/>
          <w:highlight w:val="none"/>
        </w:rPr>
        <w:t>招标形式：</w:t>
      </w:r>
      <w:bookmarkStart w:id="19" w:name="_Toc47112482"/>
      <w:r>
        <w:rPr>
          <w:rFonts w:hint="eastAsia" w:ascii="宋体" w:hAnsi="宋体" w:eastAsia="宋体" w:cs="宋体"/>
          <w:b/>
          <w:bCs/>
          <w:sz w:val="24"/>
          <w:szCs w:val="24"/>
          <w:highlight w:val="none"/>
          <w:lang w:val="en-US" w:eastAsia="zh-CN"/>
        </w:rPr>
        <w:t>公开招标</w:t>
      </w:r>
    </w:p>
    <w:p w14:paraId="742B3A80">
      <w:pPr>
        <w:pStyle w:val="160"/>
        <w:numPr>
          <w:ilvl w:val="0"/>
          <w:numId w:val="10"/>
        </w:numPr>
        <w:ind w:left="425" w:leftChars="0" w:hanging="425" w:firstLineChars="0"/>
        <w:rPr>
          <w:b/>
          <w:bCs/>
          <w:sz w:val="24"/>
          <w:szCs w:val="24"/>
          <w:highlight w:val="none"/>
        </w:rPr>
      </w:pPr>
      <w:r>
        <w:rPr>
          <w:rFonts w:hint="eastAsia"/>
          <w:b/>
          <w:bCs/>
          <w:sz w:val="24"/>
          <w:szCs w:val="24"/>
          <w:highlight w:val="none"/>
          <w:lang w:val="en-US" w:eastAsia="zh-CN"/>
        </w:rPr>
        <w:t>项目概况：</w:t>
      </w:r>
      <w:r>
        <w:rPr>
          <w:rFonts w:hint="eastAsia" w:ascii="宋体"/>
          <w:b/>
          <w:bCs/>
          <w:sz w:val="28"/>
          <w:szCs w:val="28"/>
          <w:highlight w:val="yellow"/>
          <w:lang w:val="en-US" w:eastAsia="zh-CN"/>
        </w:rPr>
        <w:t>对手工焊夹具进行新增、改制，并对焊装线进行适应性改造。</w:t>
      </w:r>
    </w:p>
    <w:p w14:paraId="151561C8">
      <w:pPr>
        <w:pStyle w:val="160"/>
        <w:numPr>
          <w:ilvl w:val="0"/>
          <w:numId w:val="10"/>
        </w:numPr>
        <w:ind w:left="425" w:leftChars="0" w:hanging="425" w:firstLineChars="0"/>
        <w:rPr>
          <w:rFonts w:hint="default" w:ascii="宋体" w:hAnsi="Courier New" w:eastAsia="宋体" w:cs="Times New Roman"/>
          <w:b/>
          <w:bCs/>
          <w:sz w:val="24"/>
          <w:szCs w:val="24"/>
          <w:highlight w:val="none"/>
          <w:lang w:val="en-US" w:eastAsia="zh-CN"/>
        </w:rPr>
      </w:pPr>
      <w:r>
        <w:rPr>
          <w:rFonts w:hint="eastAsia" w:cs="Times New Roman"/>
          <w:b/>
          <w:bCs/>
          <w:sz w:val="24"/>
          <w:szCs w:val="24"/>
          <w:highlight w:val="none"/>
          <w:lang w:val="en-US" w:eastAsia="zh-CN"/>
        </w:rPr>
        <w:t>招标内容</w:t>
      </w:r>
      <w:r>
        <w:rPr>
          <w:rFonts w:hint="eastAsia" w:ascii="宋体" w:hAnsi="Courier New" w:eastAsia="宋体" w:cs="Times New Roman"/>
          <w:b/>
          <w:bCs/>
          <w:sz w:val="24"/>
          <w:szCs w:val="24"/>
          <w:highlight w:val="none"/>
          <w:lang w:val="en-US" w:eastAsia="zh-CN"/>
        </w:rPr>
        <w:t>具体要求详见《技术标书》。</w:t>
      </w:r>
    </w:p>
    <w:p w14:paraId="49F41294">
      <w:pPr>
        <w:pStyle w:val="160"/>
        <w:numPr>
          <w:ilvl w:val="0"/>
          <w:numId w:val="10"/>
        </w:numPr>
        <w:ind w:left="425" w:leftChars="0" w:hanging="425" w:firstLineChars="0"/>
        <w:rPr>
          <w:rFonts w:hint="default" w:cs="Times New Roman"/>
          <w:b/>
          <w:bCs/>
          <w:sz w:val="24"/>
          <w:szCs w:val="24"/>
          <w:highlight w:val="none"/>
          <w:u w:val="none"/>
          <w:lang w:val="en-US" w:eastAsia="zh-CN"/>
        </w:rPr>
      </w:pPr>
      <w:r>
        <w:rPr>
          <w:rFonts w:hint="eastAsia"/>
          <w:b/>
          <w:bCs/>
          <w:sz w:val="24"/>
          <w:szCs w:val="24"/>
          <w:highlight w:val="none"/>
          <w:lang w:val="en-US" w:eastAsia="zh-CN"/>
        </w:rPr>
        <w:t>报价：</w:t>
      </w:r>
    </w:p>
    <w:p w14:paraId="75266BA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2839D4B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2A2F2260">
      <w:pPr>
        <w:pStyle w:val="160"/>
        <w:numPr>
          <w:ilvl w:val="0"/>
          <w:numId w:val="10"/>
        </w:numPr>
        <w:ind w:left="425" w:leftChars="0" w:hanging="425" w:firstLineChars="0"/>
        <w:rPr>
          <w:rFonts w:hint="eastAsia"/>
          <w:b/>
          <w:bCs/>
          <w:sz w:val="24"/>
          <w:szCs w:val="24"/>
          <w:highlight w:val="none"/>
          <w:lang w:val="en-US" w:eastAsia="zh-CN"/>
        </w:rPr>
      </w:pPr>
      <w:r>
        <w:rPr>
          <w:rFonts w:hint="eastAsia"/>
          <w:b/>
          <w:bCs/>
          <w:sz w:val="24"/>
          <w:szCs w:val="24"/>
          <w:highlight w:val="none"/>
          <w:lang w:val="en-US" w:eastAsia="zh-CN"/>
        </w:rPr>
        <w:t>招标人信息：</w:t>
      </w:r>
    </w:p>
    <w:p w14:paraId="61C5318D">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098F6EE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3C87EDA1">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3396882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2F63AB79">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bookmarkEnd w:id="19"/>
    <w:p w14:paraId="49FC2DC4">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bookmarkStart w:id="20" w:name="_Toc47976598"/>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乔建华</w:t>
      </w:r>
    </w:p>
    <w:p w14:paraId="34047AD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15610036410</w:t>
      </w:r>
    </w:p>
    <w:p w14:paraId="005741C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qiaojianhua@sinotruk.com</w:t>
      </w:r>
    </w:p>
    <w:p w14:paraId="50DC6C75">
      <w:pPr>
        <w:pStyle w:val="158"/>
      </w:pPr>
      <w:r>
        <w:rPr>
          <w:rFonts w:hint="eastAsia"/>
        </w:rPr>
        <w:t>合格的投标人。</w:t>
      </w:r>
      <w:bookmarkEnd w:id="20"/>
    </w:p>
    <w:p w14:paraId="4A1CBD20">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投标人须遵守《中华人民共和国招标投标法》及其它有关的法律和法规；为中华人民共和国境内注册的独立法人机构，具有独立承担民事责任能力；</w:t>
      </w:r>
    </w:p>
    <w:p w14:paraId="0901FF15">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拟标投人必须是在中华人民共和国境内注册的独立法人机构，具有独立承担民事责任能力；注册资金不少于</w:t>
      </w:r>
      <w:r>
        <w:rPr>
          <w:rFonts w:hint="eastAsia"/>
          <w:b w:val="0"/>
          <w:bCs/>
          <w:sz w:val="21"/>
          <w:szCs w:val="21"/>
          <w:highlight w:val="none"/>
          <w:u w:val="single"/>
          <w:lang w:val="en-US" w:eastAsia="zh-CN"/>
        </w:rPr>
        <w:t xml:space="preserve"> 500</w:t>
      </w:r>
      <w:r>
        <w:rPr>
          <w:rFonts w:hint="eastAsia"/>
          <w:b w:val="0"/>
          <w:bCs/>
          <w:sz w:val="21"/>
          <w:szCs w:val="21"/>
          <w:highlight w:val="none"/>
          <w:lang w:val="en-US" w:eastAsia="zh-CN"/>
        </w:rPr>
        <w:t>万人民币（或等值其他货币）；公司成立</w:t>
      </w:r>
      <w:r>
        <w:rPr>
          <w:rFonts w:hint="eastAsia"/>
          <w:b w:val="0"/>
          <w:bCs/>
          <w:sz w:val="21"/>
          <w:szCs w:val="21"/>
          <w:highlight w:val="none"/>
          <w:u w:val="single"/>
          <w:lang w:val="en-US" w:eastAsia="zh-CN"/>
        </w:rPr>
        <w:t xml:space="preserve">  3  </w:t>
      </w:r>
      <w:r>
        <w:rPr>
          <w:rFonts w:hint="eastAsia"/>
          <w:b w:val="0"/>
          <w:bCs/>
          <w:sz w:val="21"/>
          <w:szCs w:val="21"/>
          <w:highlight w:val="none"/>
          <w:lang w:val="en-US" w:eastAsia="zh-CN"/>
        </w:rPr>
        <w:t>年以上（以营业执照成立日期到开标当日满 3 年为准），且经营范围满足招标人需求；并在人员、设备、资金等方面具有承担本项目的能力，且满足技术、质量、资金等要求；</w:t>
      </w:r>
    </w:p>
    <w:p w14:paraId="0E3E3C45">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1AF832A0">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拟投标人在“国家企业信用信息公示系统”、“中国执行信息公开网”、“信用中国”、“天眼查”“裁判文书网”等信息平台中，无行政处罚及失信记录等信息；</w:t>
      </w:r>
    </w:p>
    <w:p w14:paraId="431B875B">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无招标违规、谎报年度报告信息、提供虚假资质资料等行为或其他行政处罚记录；</w:t>
      </w:r>
    </w:p>
    <w:p w14:paraId="685B42A4">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近三年内在经营活动中无与本项目有关的违法及重大违规情况；</w:t>
      </w:r>
    </w:p>
    <w:p w14:paraId="74DB7C6F">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投标人没有被列入招标人处《黑名单》（《黑名单》指投标人与招标人在以往或正在进行的合作中，存在招标人认为的违反合同约定或违反法律法规等的失信行为）的声明；</w:t>
      </w:r>
    </w:p>
    <w:p w14:paraId="172CFAA3">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公司经营范围满足招标项目需求；</w:t>
      </w:r>
    </w:p>
    <w:p w14:paraId="3148471E">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投标人须具有履行招标文件所有设备、专业技术等要求的能力；</w:t>
      </w:r>
    </w:p>
    <w:p w14:paraId="12EA418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投标人须有依法缴纳税收和社会保障资金的良好记录；</w:t>
      </w:r>
    </w:p>
    <w:p w14:paraId="7EC679C8">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具有本次招标货物的供货、安装、售后服务等的相应资质；</w:t>
      </w:r>
    </w:p>
    <w:p w14:paraId="310B14D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投标人须负责提供合理的便于运输的包装物，并承担相关费用；</w:t>
      </w:r>
    </w:p>
    <w:p w14:paraId="7925A6E3">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投标人须认可招标人的工作指令，包括节、假日能正常开展工作的要求。</w:t>
      </w:r>
    </w:p>
    <w:p w14:paraId="72FD8E4E">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拟投标人的直接或间接股东、法定代表人、董事、监事、高管非重汽员工及其亲属；</w:t>
      </w:r>
    </w:p>
    <w:p w14:paraId="0215F1A8">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投标人必须是最终投标、签订合同的单位，不得以任何理由将已中标项目以任何形式转包或者分包给其他单位；</w:t>
      </w:r>
    </w:p>
    <w:p w14:paraId="5A2CFA9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本次招标项目不接受联合体投标，不允许代理商参标；</w:t>
      </w:r>
    </w:p>
    <w:p w14:paraId="5C2B0709">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法律、行政法规规定的其他条件；</w:t>
      </w:r>
    </w:p>
    <w:p w14:paraId="31CA8C38">
      <w:pPr>
        <w:pStyle w:val="158"/>
        <w:rPr>
          <w:rFonts w:hint="eastAsia" w:cs="Times New Roman"/>
        </w:rPr>
      </w:pPr>
      <w:r>
        <w:rPr>
          <w:rFonts w:hint="eastAsia" w:cs="Times New Roman"/>
        </w:rPr>
        <w:t>招标文件的</w:t>
      </w:r>
      <w:r>
        <w:rPr>
          <w:rFonts w:hint="eastAsia" w:cs="Times New Roman"/>
          <w:lang w:val="en-US" w:eastAsia="zh-CN"/>
        </w:rPr>
        <w:t>领取、</w:t>
      </w:r>
      <w:r>
        <w:rPr>
          <w:rFonts w:hint="eastAsia" w:cs="Times New Roman"/>
        </w:rPr>
        <w:t>答疑、</w:t>
      </w:r>
      <w:r>
        <w:rPr>
          <w:rFonts w:hint="eastAsia" w:cs="Times New Roman"/>
          <w:lang w:val="en-US" w:eastAsia="zh-CN"/>
        </w:rPr>
        <w:t>应标</w:t>
      </w:r>
      <w:r>
        <w:rPr>
          <w:rFonts w:hint="eastAsia" w:cs="Times New Roman"/>
        </w:rPr>
        <w:t>及投标报名</w:t>
      </w:r>
    </w:p>
    <w:p w14:paraId="09A92690">
      <w:pPr>
        <w:pStyle w:val="160"/>
        <w:numPr>
          <w:ilvl w:val="0"/>
          <w:numId w:val="12"/>
        </w:numPr>
        <w:ind w:left="425" w:leftChars="0" w:hanging="425" w:firstLineChars="0"/>
        <w:jc w:val="both"/>
        <w:rPr>
          <w:rFonts w:hint="eastAsia"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发标时间：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2</w:t>
      </w:r>
      <w:r>
        <w:rPr>
          <w:rFonts w:hint="eastAsia" w:ascii="宋体" w:hAnsi="Courier New" w:eastAsia="宋体" w:cs="Times New Roman"/>
          <w:sz w:val="21"/>
          <w:szCs w:val="21"/>
          <w:highlight w:val="yellow"/>
          <w:lang w:val="en-US" w:eastAsia="zh-CN"/>
        </w:rPr>
        <w:t>月</w:t>
      </w:r>
      <w:r>
        <w:rPr>
          <w:rFonts w:hint="eastAsia" w:cs="Times New Roman"/>
          <w:sz w:val="21"/>
          <w:szCs w:val="21"/>
          <w:highlight w:val="yellow"/>
          <w:lang w:val="en-US" w:eastAsia="zh-CN"/>
        </w:rPr>
        <w:t>26</w:t>
      </w:r>
      <w:r>
        <w:rPr>
          <w:rFonts w:hint="eastAsia" w:ascii="宋体" w:hAnsi="Courier New" w:eastAsia="宋体" w:cs="Times New Roman"/>
          <w:sz w:val="21"/>
          <w:szCs w:val="21"/>
          <w:highlight w:val="yellow"/>
          <w:lang w:val="en-US" w:eastAsia="zh-CN"/>
        </w:rPr>
        <w:t>日</w:t>
      </w:r>
    </w:p>
    <w:p w14:paraId="3E83CBE4">
      <w:pPr>
        <w:pStyle w:val="160"/>
        <w:numPr>
          <w:ilvl w:val="0"/>
          <w:numId w:val="12"/>
        </w:numPr>
        <w:ind w:left="425" w:leftChars="0" w:hanging="425" w:firstLineChars="0"/>
        <w:jc w:val="both"/>
        <w:rPr>
          <w:b/>
          <w:bCs/>
          <w:sz w:val="21"/>
          <w:szCs w:val="21"/>
          <w:highlight w:val="none"/>
        </w:rPr>
      </w:pPr>
      <w:r>
        <w:rPr>
          <w:rFonts w:hint="eastAsia" w:ascii="宋体" w:hAnsi="Courier New" w:eastAsia="宋体" w:cs="Times New Roman"/>
          <w:b/>
          <w:bCs/>
          <w:sz w:val="21"/>
          <w:szCs w:val="21"/>
          <w:highlight w:val="none"/>
          <w:lang w:val="en-US" w:eastAsia="zh-CN"/>
        </w:rPr>
        <w:t>招标文件领取方式、地点及领取截止时间</w:t>
      </w:r>
      <w:r>
        <w:rPr>
          <w:rFonts w:hint="eastAsia" w:cs="Times New Roman"/>
          <w:b/>
          <w:bCs/>
          <w:sz w:val="21"/>
          <w:szCs w:val="21"/>
          <w:highlight w:val="none"/>
          <w:lang w:val="en-US" w:eastAsia="zh-CN"/>
        </w:rPr>
        <w:t>：</w:t>
      </w:r>
    </w:p>
    <w:p w14:paraId="2A86024D">
      <w:pPr>
        <w:pStyle w:val="160"/>
        <w:ind w:firstLine="211" w:firstLineChars="100"/>
        <w:jc w:val="both"/>
        <w:rPr>
          <w:rFonts w:hint="default" w:eastAsia="宋体"/>
          <w:sz w:val="21"/>
          <w:szCs w:val="21"/>
          <w:highlight w:val="none"/>
          <w:lang w:val="en-US" w:eastAsia="zh-CN"/>
        </w:rPr>
      </w:pPr>
      <w:r>
        <w:rPr>
          <w:rFonts w:hint="eastAsia" w:ascii="宋体" w:hAnsi="Courier New" w:eastAsia="宋体" w:cs="Times New Roman"/>
          <w:b/>
          <w:bCs/>
          <w:sz w:val="21"/>
          <w:szCs w:val="21"/>
          <w:highlight w:val="none"/>
          <w:lang w:val="en-US" w:eastAsia="zh-CN"/>
        </w:rPr>
        <w:t>地点（线上）：</w:t>
      </w:r>
      <w:r>
        <w:rPr>
          <w:rFonts w:hint="eastAsia"/>
          <w:sz w:val="21"/>
          <w:szCs w:val="21"/>
          <w:highlight w:val="none"/>
        </w:rPr>
        <w:t>中国重汽e采通平台</w:t>
      </w:r>
      <w:r>
        <w:rPr>
          <w:rFonts w:hint="eastAsia"/>
          <w:sz w:val="21"/>
          <w:szCs w:val="21"/>
          <w:highlight w:val="none"/>
          <w:lang w:eastAsia="zh-CN"/>
        </w:rPr>
        <w:t>、</w:t>
      </w:r>
      <w:r>
        <w:rPr>
          <w:rFonts w:hint="eastAsia"/>
          <w:sz w:val="21"/>
          <w:szCs w:val="21"/>
          <w:highlight w:val="none"/>
          <w:lang w:val="en-US" w:eastAsia="zh-CN"/>
        </w:rPr>
        <w:t>中国重汽官网</w:t>
      </w:r>
    </w:p>
    <w:p w14:paraId="3A1CA64C">
      <w:pPr>
        <w:pStyle w:val="160"/>
        <w:ind w:firstLine="211" w:firstLineChars="100"/>
        <w:jc w:val="both"/>
        <w:rPr>
          <w:rFonts w:hint="default"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领取截止时间：</w:t>
      </w:r>
      <w:r>
        <w:rPr>
          <w:rFonts w:hint="eastAsia" w:ascii="宋体" w:eastAsia="宋体" w:cs="Times New Roman"/>
          <w:sz w:val="21"/>
          <w:szCs w:val="21"/>
          <w:highlight w:val="yellow"/>
        </w:rPr>
        <w:t>2026年</w:t>
      </w:r>
      <w:r>
        <w:rPr>
          <w:rFonts w:hint="eastAsia" w:eastAsia="宋体" w:cs="Times New Roman"/>
          <w:sz w:val="21"/>
          <w:szCs w:val="21"/>
          <w:highlight w:val="yellow"/>
          <w:lang w:val="en-US" w:eastAsia="zh-CN"/>
        </w:rPr>
        <w:t>4</w:t>
      </w:r>
      <w:r>
        <w:rPr>
          <w:rFonts w:hint="eastAsia" w:ascii="宋体" w:eastAsia="宋体" w:cs="Times New Roman"/>
          <w:sz w:val="21"/>
          <w:szCs w:val="21"/>
          <w:highlight w:val="yellow"/>
        </w:rPr>
        <w:t>月</w:t>
      </w:r>
      <w:r>
        <w:rPr>
          <w:rFonts w:hint="eastAsia" w:eastAsia="宋体" w:cs="Times New Roman"/>
          <w:sz w:val="21"/>
          <w:szCs w:val="21"/>
          <w:highlight w:val="yellow"/>
          <w:lang w:val="en-US" w:eastAsia="zh-CN"/>
        </w:rPr>
        <w:t>29</w:t>
      </w:r>
      <w:r>
        <w:rPr>
          <w:rFonts w:hint="eastAsia" w:ascii="宋体" w:eastAsia="宋体" w:cs="Times New Roman"/>
          <w:sz w:val="21"/>
          <w:szCs w:val="21"/>
          <w:highlight w:val="yellow"/>
        </w:rPr>
        <w:t>日</w:t>
      </w:r>
    </w:p>
    <w:p w14:paraId="62084E4B">
      <w:pPr>
        <w:pStyle w:val="160"/>
        <w:numPr>
          <w:ilvl w:val="0"/>
          <w:numId w:val="12"/>
        </w:numPr>
        <w:ind w:left="425" w:leftChars="0" w:hanging="425" w:firstLineChars="0"/>
        <w:jc w:val="both"/>
        <w:rPr>
          <w:rFonts w:hint="eastAsia" w:ascii="宋体" w:hAnsi="Courier New" w:eastAsia="宋体" w:cs="Times New Roman"/>
          <w:b w:val="0"/>
          <w:bCs w:val="0"/>
          <w:sz w:val="21"/>
          <w:szCs w:val="21"/>
          <w:highlight w:val="yellow"/>
          <w:lang w:val="en-US" w:eastAsia="zh-CN"/>
        </w:rPr>
      </w:pPr>
      <w:r>
        <w:rPr>
          <w:rFonts w:hint="eastAsia" w:ascii="宋体" w:hAnsi="Courier New" w:eastAsia="宋体" w:cs="Times New Roman"/>
          <w:b/>
          <w:bCs/>
          <w:sz w:val="21"/>
          <w:szCs w:val="21"/>
          <w:highlight w:val="yellow"/>
          <w:lang w:val="en-US" w:eastAsia="zh-CN"/>
        </w:rPr>
        <w:t>答疑时间：</w:t>
      </w:r>
      <w:r>
        <w:rPr>
          <w:rFonts w:hint="eastAsia" w:ascii="宋体" w:hAnsi="Courier New" w:eastAsia="宋体" w:cs="Times New Roman"/>
          <w:sz w:val="21"/>
          <w:szCs w:val="21"/>
          <w:highlight w:val="yellow"/>
          <w:lang w:val="en-US" w:eastAsia="zh-CN"/>
        </w:rPr>
        <w:t>2026年4月</w:t>
      </w:r>
      <w:r>
        <w:rPr>
          <w:rFonts w:hint="eastAsia" w:eastAsia="宋体" w:cs="Times New Roman"/>
          <w:sz w:val="21"/>
          <w:szCs w:val="21"/>
          <w:highlight w:val="yellow"/>
          <w:lang w:val="en-US" w:eastAsia="zh-CN"/>
        </w:rPr>
        <w:t>29</w:t>
      </w:r>
      <w:r>
        <w:rPr>
          <w:rFonts w:hint="eastAsia" w:ascii="宋体" w:hAnsi="Courier New" w:eastAsia="宋体" w:cs="Times New Roman"/>
          <w:sz w:val="21"/>
          <w:szCs w:val="21"/>
          <w:highlight w:val="yellow"/>
          <w:lang w:val="en-US" w:eastAsia="zh-CN"/>
        </w:rPr>
        <w:t>日17:00前</w:t>
      </w:r>
    </w:p>
    <w:p w14:paraId="62CB87C4">
      <w:pPr>
        <w:pStyle w:val="160"/>
        <w:numPr>
          <w:ilvl w:val="0"/>
          <w:numId w:val="12"/>
        </w:numPr>
        <w:ind w:left="425" w:leftChars="0" w:hanging="425" w:firstLineChars="0"/>
        <w:jc w:val="both"/>
        <w:rPr>
          <w:rFonts w:hint="eastAsia" w:ascii="宋体" w:hAnsi="Courier New" w:eastAsia="宋体" w:cs="Times New Roman"/>
          <w:b/>
          <w:bCs/>
          <w:sz w:val="21"/>
          <w:szCs w:val="21"/>
          <w:highlight w:val="none"/>
          <w:lang w:val="en-US" w:eastAsia="zh-CN"/>
        </w:rPr>
      </w:pPr>
      <w:r>
        <w:rPr>
          <w:rFonts w:hint="eastAsia" w:ascii="宋体" w:hAnsi="Courier New" w:eastAsia="宋体" w:cs="Times New Roman"/>
          <w:b/>
          <w:bCs/>
          <w:sz w:val="21"/>
          <w:szCs w:val="21"/>
          <w:highlight w:val="none"/>
          <w:lang w:val="en-US" w:eastAsia="zh-CN"/>
        </w:rPr>
        <w:t>提交疑问方式：</w:t>
      </w:r>
    </w:p>
    <w:p w14:paraId="24D6AE88">
      <w:pPr>
        <w:pStyle w:val="160"/>
        <w:ind w:firstLine="210" w:firstLineChars="100"/>
        <w:jc w:val="both"/>
        <w:rPr>
          <w:rFonts w:hint="eastAsia" w:ascii="宋体" w:eastAsia="宋体" w:cs="Times New Roman"/>
          <w:sz w:val="21"/>
          <w:szCs w:val="21"/>
          <w:highlight w:val="none"/>
        </w:rPr>
      </w:pPr>
      <w:r>
        <w:rPr>
          <w:rFonts w:hint="eastAsia" w:ascii="宋体" w:eastAsia="宋体" w:cs="Times New Roman"/>
          <w:sz w:val="21"/>
          <w:szCs w:val="21"/>
          <w:highlight w:val="none"/>
        </w:rPr>
        <w:t>如果投标人对招标文件商务部分、技术部分有疑问，请各投标人在本答疑环节提出。</w:t>
      </w:r>
    </w:p>
    <w:p w14:paraId="5AF25D50">
      <w:pPr>
        <w:pStyle w:val="160"/>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提交疑问时间：</w:t>
      </w:r>
      <w:r>
        <w:rPr>
          <w:rFonts w:hint="eastAsia" w:ascii="宋体" w:eastAsia="宋体" w:cs="Times New Roman"/>
          <w:sz w:val="21"/>
          <w:szCs w:val="21"/>
          <w:highlight w:val="yellow"/>
        </w:rPr>
        <w:t>2026年4月</w:t>
      </w:r>
      <w:r>
        <w:rPr>
          <w:rFonts w:hint="eastAsia" w:eastAsia="宋体" w:cs="Times New Roman"/>
          <w:sz w:val="21"/>
          <w:szCs w:val="21"/>
          <w:highlight w:val="yellow"/>
          <w:lang w:val="en-US" w:eastAsia="zh-CN"/>
        </w:rPr>
        <w:t>29</w:t>
      </w:r>
      <w:r>
        <w:rPr>
          <w:rFonts w:hint="eastAsia" w:ascii="宋体" w:eastAsia="宋体" w:cs="Times New Roman"/>
          <w:sz w:val="21"/>
          <w:szCs w:val="21"/>
          <w:highlight w:val="yellow"/>
        </w:rPr>
        <w:t>日12:00前</w:t>
      </w:r>
    </w:p>
    <w:p w14:paraId="1EF2B1F6">
      <w:pPr>
        <w:pStyle w:val="160"/>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提交疑问方式：</w:t>
      </w:r>
      <w:r>
        <w:rPr>
          <w:rFonts w:hint="eastAsia" w:ascii="宋体" w:eastAsia="宋体" w:cs="Times New Roman"/>
          <w:sz w:val="21"/>
          <w:szCs w:val="21"/>
          <w:highlight w:val="none"/>
        </w:rPr>
        <w:t>将答疑问题以word文件格式发送至联系人邮件内，</w:t>
      </w:r>
      <w:r>
        <w:rPr>
          <w:rFonts w:hint="eastAsia" w:ascii="宋体" w:eastAsia="宋体" w:cs="Times New Roman"/>
          <w:sz w:val="21"/>
          <w:szCs w:val="21"/>
          <w:highlight w:val="none"/>
          <w:lang w:val="en-US" w:eastAsia="zh-CN"/>
        </w:rPr>
        <w:t>同时发送技术联系人及商务联系人，并</w:t>
      </w:r>
      <w:r>
        <w:rPr>
          <w:rFonts w:hint="eastAsia" w:ascii="宋体" w:eastAsia="宋体" w:cs="Times New Roman"/>
          <w:sz w:val="21"/>
          <w:szCs w:val="21"/>
          <w:highlight w:val="none"/>
        </w:rPr>
        <w:t>电话联系工作人员查收，邮件名格式为：XXX公司（五个字以内公司简称）XX项目答疑文件。</w:t>
      </w:r>
    </w:p>
    <w:p w14:paraId="17E8B3FF">
      <w:pPr>
        <w:pStyle w:val="160"/>
        <w:ind w:firstLine="210" w:firstLineChars="100"/>
        <w:jc w:val="both"/>
        <w:rPr>
          <w:rFonts w:hint="eastAsia" w:ascii="宋体" w:eastAsia="宋体" w:cs="Times New Roman"/>
          <w:sz w:val="21"/>
          <w:szCs w:val="21"/>
          <w:highlight w:val="none"/>
          <w:lang w:val="en-US" w:eastAsia="zh-CN"/>
        </w:rPr>
      </w:pPr>
      <w:r>
        <w:rPr>
          <w:rFonts w:hint="eastAsia" w:ascii="宋体" w:eastAsia="宋体" w:cs="Times New Roman"/>
          <w:sz w:val="21"/>
          <w:szCs w:val="21"/>
          <w:highlight w:val="none"/>
        </w:rPr>
        <w:t>同时必须在邮件中以文字方式提供投标人全称、投标授权人姓名、联系方式（固定电话、手机、电子邮箱），并提供附件2法定代表人授权委托书。</w:t>
      </w:r>
    </w:p>
    <w:p w14:paraId="07C0B551">
      <w:pPr>
        <w:pStyle w:val="160"/>
        <w:numPr>
          <w:ilvl w:val="0"/>
          <w:numId w:val="12"/>
        </w:numPr>
        <w:ind w:left="425" w:leftChars="0" w:hanging="425" w:firstLineChars="0"/>
        <w:jc w:val="both"/>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领取答疑、澄清和修改文件时间</w:t>
      </w:r>
      <w:r>
        <w:rPr>
          <w:rFonts w:hint="eastAsia" w:ascii="宋体" w:hAnsi="Courier New" w:eastAsia="宋体" w:cs="Times New Roman"/>
          <w:sz w:val="21"/>
          <w:szCs w:val="21"/>
          <w:highlight w:val="none"/>
          <w:lang w:val="en-US" w:eastAsia="zh-CN"/>
        </w:rPr>
        <w:t>：</w:t>
      </w:r>
      <w:r>
        <w:rPr>
          <w:rFonts w:hint="eastAsia" w:ascii="宋体" w:hAnsi="Courier New" w:eastAsia="宋体" w:cs="Times New Roman"/>
          <w:sz w:val="21"/>
          <w:szCs w:val="21"/>
          <w:highlight w:val="yellow"/>
          <w:lang w:val="en-US" w:eastAsia="zh-CN"/>
        </w:rPr>
        <w:t>2026年4月</w:t>
      </w:r>
      <w:r>
        <w:rPr>
          <w:rFonts w:hint="eastAsia" w:eastAsia="宋体" w:cs="Times New Roman"/>
          <w:sz w:val="21"/>
          <w:szCs w:val="21"/>
          <w:highlight w:val="yellow"/>
          <w:lang w:val="en-US" w:eastAsia="zh-CN"/>
        </w:rPr>
        <w:t>29</w:t>
      </w:r>
      <w:r>
        <w:rPr>
          <w:rFonts w:hint="eastAsia" w:ascii="宋体" w:hAnsi="Courier New" w:eastAsia="宋体" w:cs="Times New Roman"/>
          <w:sz w:val="21"/>
          <w:szCs w:val="21"/>
          <w:highlight w:val="yellow"/>
          <w:lang w:val="en-US" w:eastAsia="zh-CN"/>
        </w:rPr>
        <w:t>日17:00前</w:t>
      </w:r>
    </w:p>
    <w:p w14:paraId="59AC1516">
      <w:pPr>
        <w:pStyle w:val="160"/>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答疑、澄清和修改文件方式</w:t>
      </w:r>
      <w:r>
        <w:rPr>
          <w:rFonts w:hint="eastAsia" w:ascii="宋体" w:hAnsi="Courier New" w:eastAsia="宋体" w:cs="Times New Roman"/>
          <w:sz w:val="21"/>
          <w:szCs w:val="21"/>
          <w:highlight w:val="none"/>
          <w:lang w:val="en-US" w:eastAsia="zh-CN"/>
        </w:rPr>
        <w:t>：招标人将以电子邮件的方式将招标文件的答疑澄清文件发送至答疑文件提交时登记的电子邮箱。</w:t>
      </w:r>
    </w:p>
    <w:p w14:paraId="7AB51490">
      <w:pPr>
        <w:pStyle w:val="160"/>
        <w:numPr>
          <w:ilvl w:val="0"/>
          <w:numId w:val="12"/>
        </w:numPr>
        <w:ind w:left="425" w:leftChars="0" w:hanging="425" w:firstLineChars="0"/>
        <w:jc w:val="both"/>
        <w:rPr>
          <w:rFonts w:hint="eastAsia" w:ascii="宋体" w:hAnsi="Courier New" w:eastAsia="宋体" w:cs="Times New Roman"/>
          <w:b/>
          <w:bCs/>
          <w:sz w:val="21"/>
          <w:szCs w:val="21"/>
          <w:highlight w:val="yellow"/>
          <w:lang w:val="en-US" w:eastAsia="zh-CN"/>
        </w:rPr>
      </w:pPr>
      <w:r>
        <w:rPr>
          <w:rFonts w:hint="eastAsia" w:ascii="宋体" w:hAnsi="Courier New" w:eastAsia="宋体" w:cs="Times New Roman"/>
          <w:b/>
          <w:bCs/>
          <w:sz w:val="21"/>
          <w:szCs w:val="21"/>
          <w:highlight w:val="yellow"/>
          <w:lang w:val="en-US" w:eastAsia="zh-CN"/>
        </w:rPr>
        <w:t>报名方式</w:t>
      </w:r>
      <w:r>
        <w:rPr>
          <w:rFonts w:hint="eastAsia" w:cs="Times New Roman"/>
          <w:b/>
          <w:bCs/>
          <w:sz w:val="21"/>
          <w:szCs w:val="21"/>
          <w:highlight w:val="yellow"/>
          <w:lang w:val="en-US" w:eastAsia="zh-CN"/>
        </w:rPr>
        <w:t>：</w:t>
      </w:r>
    </w:p>
    <w:p w14:paraId="76035EE9">
      <w:pPr>
        <w:pStyle w:val="119"/>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拟投标人根据招标人在中国重汽官网等公开媒体上发布的招标信息，在“中国重汽e采通”平台报名。</w:t>
      </w:r>
      <w:r>
        <w:rPr>
          <w:rFonts w:hint="eastAsia" w:ascii="宋体" w:hAnsi="宋体" w:eastAsia="宋体" w:cs="宋体"/>
          <w:b/>
          <w:bCs/>
          <w:sz w:val="21"/>
          <w:szCs w:val="21"/>
        </w:rPr>
        <w:t>按照中国重汽e采通“SRM非生产供应商注册手册”（附件</w:t>
      </w:r>
      <w:r>
        <w:rPr>
          <w:rFonts w:hint="eastAsia" w:eastAsia="宋体" w:cs="宋体"/>
          <w:b/>
          <w:bCs/>
          <w:sz w:val="21"/>
          <w:szCs w:val="21"/>
          <w:lang w:val="en-US" w:eastAsia="zh-CN"/>
        </w:rPr>
        <w:t>16</w:t>
      </w:r>
      <w:r>
        <w:rPr>
          <w:rFonts w:hint="eastAsia" w:ascii="宋体" w:hAnsi="宋体" w:eastAsia="宋体" w:cs="宋体"/>
          <w:b/>
          <w:bCs/>
          <w:sz w:val="21"/>
          <w:szCs w:val="21"/>
        </w:rPr>
        <w:t>）进行注册</w:t>
      </w:r>
      <w:r>
        <w:rPr>
          <w:rFonts w:hint="eastAsia" w:ascii="宋体" w:hAnsi="宋体" w:eastAsia="宋体" w:cs="宋体"/>
          <w:sz w:val="21"/>
          <w:szCs w:val="21"/>
        </w:rPr>
        <w:t>，注册完毕后按照</w:t>
      </w:r>
      <w:r>
        <w:rPr>
          <w:rFonts w:hint="eastAsia" w:ascii="宋体" w:hAnsi="宋体" w:eastAsia="宋体" w:cs="宋体"/>
          <w:b/>
          <w:sz w:val="21"/>
          <w:szCs w:val="21"/>
        </w:rPr>
        <w:t>“SRM系统供应商用户手册（附件1</w:t>
      </w:r>
      <w:r>
        <w:rPr>
          <w:rFonts w:hint="eastAsia" w:eastAsia="宋体" w:cs="宋体"/>
          <w:b/>
          <w:sz w:val="21"/>
          <w:szCs w:val="21"/>
          <w:lang w:val="en-US" w:eastAsia="zh-CN"/>
        </w:rPr>
        <w:t>7</w:t>
      </w:r>
      <w:r>
        <w:rPr>
          <w:rFonts w:hint="eastAsia" w:ascii="宋体" w:hAnsi="宋体" w:eastAsia="宋体" w:cs="宋体"/>
          <w:b/>
          <w:sz w:val="21"/>
          <w:szCs w:val="21"/>
        </w:rPr>
        <w:t>）”，</w:t>
      </w:r>
      <w:r>
        <w:rPr>
          <w:rFonts w:hint="eastAsia" w:ascii="宋体" w:hAnsi="宋体" w:eastAsia="宋体" w:cs="宋体"/>
          <w:sz w:val="21"/>
          <w:szCs w:val="21"/>
        </w:rPr>
        <w:t>登录</w:t>
      </w:r>
      <w:r>
        <w:rPr>
          <w:rFonts w:hint="eastAsia" w:ascii="宋体" w:hAnsi="宋体" w:eastAsia="宋体" w:cs="宋体"/>
          <w:b/>
          <w:sz w:val="21"/>
          <w:szCs w:val="21"/>
        </w:rPr>
        <w:t>重汽e采通平台</w:t>
      </w:r>
      <w:r>
        <w:rPr>
          <w:rFonts w:hint="eastAsia" w:ascii="宋体" w:hAnsi="宋体" w:eastAsia="宋体" w:cs="宋体"/>
          <w:sz w:val="21"/>
          <w:szCs w:val="21"/>
        </w:rPr>
        <w:t>后进入“供应商应标”，选择对应的项目，点击“</w:t>
      </w:r>
      <w:r>
        <w:rPr>
          <w:rFonts w:hint="eastAsia" w:ascii="宋体" w:hAnsi="宋体" w:eastAsia="宋体" w:cs="宋体"/>
          <w:b/>
          <w:bCs/>
          <w:sz w:val="21"/>
          <w:szCs w:val="21"/>
        </w:rPr>
        <w:t>应标</w:t>
      </w:r>
      <w:r>
        <w:rPr>
          <w:rFonts w:hint="eastAsia" w:ascii="宋体" w:hAnsi="宋体" w:eastAsia="宋体" w:cs="宋体"/>
          <w:sz w:val="21"/>
          <w:szCs w:val="21"/>
        </w:rPr>
        <w:t>”</w:t>
      </w:r>
      <w:r>
        <w:rPr>
          <w:rFonts w:hint="eastAsia" w:ascii="宋体" w:hAnsi="宋体" w:eastAsia="宋体" w:cs="宋体"/>
          <w:b/>
          <w:bCs/>
          <w:sz w:val="21"/>
          <w:szCs w:val="21"/>
        </w:rPr>
        <w:t>后按照招标文件第三部分投标文件组成资格证明文件中的1.1-1.13准备资料并</w:t>
      </w:r>
      <w:r>
        <w:rPr>
          <w:rFonts w:hint="eastAsia" w:ascii="宋体" w:hAnsi="宋体" w:eastAsia="宋体" w:cs="宋体"/>
          <w:sz w:val="21"/>
          <w:szCs w:val="21"/>
        </w:rPr>
        <w:t>上传，资质审查通过即为报名成功；公示期间请尽快报名。</w:t>
      </w:r>
    </w:p>
    <w:p w14:paraId="0999CAE3">
      <w:pPr>
        <w:pStyle w:val="119"/>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报名时提供的资料不合格的会在系统被驳回，请及时查阅审核状态并及时补齐资料，不能按时补充资料的视为自动放弃本次投标。</w:t>
      </w:r>
    </w:p>
    <w:p w14:paraId="787B56BC">
      <w:pPr>
        <w:pStyle w:val="119"/>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请投标人自行确认中国重汽e采通系统中供应商信息完整、准确，因供应商信息不全或错误导致的报名不成功，由投标人自行承担。</w:t>
      </w:r>
    </w:p>
    <w:p w14:paraId="3336D7C8">
      <w:pPr>
        <w:pStyle w:val="16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DC2B408">
      <w:pPr>
        <w:pStyle w:val="160"/>
        <w:numPr>
          <w:ilvl w:val="0"/>
          <w:numId w:val="12"/>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0131723F">
      <w:pPr>
        <w:pStyle w:val="119"/>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sz w:val="21"/>
          <w:szCs w:val="21"/>
          <w:highlight w:val="yellow"/>
        </w:rPr>
      </w:pPr>
      <w:r>
        <w:rPr>
          <w:rFonts w:hint="eastAsia" w:ascii="宋体" w:hAnsi="宋体" w:eastAsia="宋体" w:cs="宋体"/>
          <w:bCs/>
          <w:sz w:val="21"/>
          <w:szCs w:val="21"/>
          <w:highlight w:val="yellow"/>
        </w:rPr>
        <w:t>2026年4月</w:t>
      </w:r>
      <w:r>
        <w:rPr>
          <w:rFonts w:hint="eastAsia" w:eastAsia="宋体" w:cs="宋体"/>
          <w:bCs/>
          <w:sz w:val="21"/>
          <w:szCs w:val="21"/>
          <w:highlight w:val="yellow"/>
          <w:lang w:val="en-US" w:eastAsia="zh-CN"/>
        </w:rPr>
        <w:t>28</w:t>
      </w:r>
      <w:r>
        <w:rPr>
          <w:rFonts w:hint="eastAsia" w:ascii="宋体" w:hAnsi="宋体" w:eastAsia="宋体" w:cs="宋体"/>
          <w:bCs/>
          <w:sz w:val="21"/>
          <w:szCs w:val="21"/>
          <w:highlight w:val="yellow"/>
        </w:rPr>
        <w:t>日17时00分00秒</w:t>
      </w:r>
    </w:p>
    <w:p w14:paraId="73A7FB78">
      <w:pPr>
        <w:pStyle w:val="160"/>
        <w:numPr>
          <w:ilvl w:val="0"/>
          <w:numId w:val="0"/>
        </w:numPr>
        <w:ind w:leftChars="0"/>
        <w:jc w:val="both"/>
        <w:rPr>
          <w:rFonts w:hint="eastAsia" w:ascii="宋体" w:hAnsi="Courier New" w:eastAsia="宋体" w:cs="Times New Roman"/>
          <w:sz w:val="21"/>
          <w:szCs w:val="21"/>
          <w:highlight w:val="yellow"/>
          <w:lang w:val="en-US" w:eastAsia="zh-CN"/>
        </w:rPr>
      </w:pPr>
      <w:r>
        <w:rPr>
          <w:rFonts w:hint="eastAsia" w:eastAsia="宋体" w:cs="宋体"/>
          <w:b/>
          <w:bCs/>
          <w:sz w:val="21"/>
          <w:szCs w:val="21"/>
        </w:rPr>
        <w:t>注：请务必在应标截止时间前完成注册及应标操作，注册审核需2-4日，应标截止时间精确到秒，逾期将无法应标。请自行掌握时间，避免无法应标。</w:t>
      </w:r>
    </w:p>
    <w:p w14:paraId="0C785EC5">
      <w:pPr>
        <w:pStyle w:val="158"/>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159"/>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159"/>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w:t>
      </w:r>
      <w:r>
        <w:rPr>
          <w:rFonts w:hint="eastAsia" w:ascii="宋体" w:hAnsi="Courier New" w:eastAsia="宋体" w:cs="Times New Roman"/>
          <w:b/>
          <w:bCs w:val="0"/>
          <w:highlight w:val="none"/>
          <w:lang w:val="en-US" w:eastAsia="zh-CN"/>
        </w:rPr>
        <w:t>《投标文件（资质标）》、《投标文件（技术标）》、《投标文件（商务标）》（开标一览表）</w:t>
      </w:r>
      <w:r>
        <w:rPr>
          <w:rFonts w:hint="eastAsia" w:ascii="宋体" w:hAnsi="Courier New" w:eastAsia="宋体" w:cs="Times New Roman"/>
          <w:b w:val="0"/>
          <w:bCs/>
          <w:highlight w:val="none"/>
          <w:lang w:val="en-US" w:eastAsia="zh-CN"/>
        </w:rPr>
        <w:t>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资质文件：</w:t>
      </w:r>
    </w:p>
    <w:p w14:paraId="13BAC003">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法定代表人身份证明；</w:t>
      </w:r>
    </w:p>
    <w:p w14:paraId="4DBDF119">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法定代表人授权委托书（授权人需带身份证原件）；</w:t>
      </w:r>
    </w:p>
    <w:p w14:paraId="73FE5F95">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营业执照副本原件</w:t>
      </w:r>
      <w:r>
        <w:rPr>
          <w:rFonts w:hint="eastAsia" w:ascii="宋体" w:hAnsi="宋体" w:eastAsia="宋体" w:cs="宋体"/>
          <w:b w:val="0"/>
          <w:bCs/>
          <w:highlight w:val="yellow"/>
          <w:lang w:val="en-US" w:eastAsia="zh-CN"/>
        </w:rPr>
        <w:t>或复印件并加盖公章</w:t>
      </w:r>
      <w:r>
        <w:rPr>
          <w:rFonts w:hint="eastAsia" w:ascii="宋体" w:hAnsi="宋体" w:eastAsia="宋体" w:cs="宋体"/>
          <w:b w:val="0"/>
          <w:bCs/>
          <w:highlight w:val="yellow"/>
        </w:rPr>
        <w:t>；</w:t>
      </w:r>
    </w:p>
    <w:p w14:paraId="64598C8A">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投标函（附件1）；</w:t>
      </w:r>
    </w:p>
    <w:p w14:paraId="440F9E5B">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投标人应具有相应生产证明，若</w:t>
      </w:r>
      <w:r>
        <w:rPr>
          <w:rFonts w:hint="eastAsia" w:ascii="宋体" w:hAnsi="宋体" w:eastAsia="宋体" w:cs="宋体"/>
          <w:b w:val="0"/>
          <w:bCs/>
          <w:highlight w:val="none"/>
          <w:lang w:val="en-US" w:eastAsia="zh-CN"/>
        </w:rPr>
        <w:t>非原厂商</w:t>
      </w:r>
      <w:r>
        <w:rPr>
          <w:rFonts w:hint="eastAsia" w:ascii="宋体" w:hAnsi="宋体" w:eastAsia="宋体" w:cs="宋体"/>
          <w:b w:val="0"/>
          <w:bCs/>
          <w:highlight w:val="none"/>
        </w:rPr>
        <w:t>需提供</w:t>
      </w:r>
      <w:r>
        <w:rPr>
          <w:rFonts w:hint="eastAsia" w:ascii="宋体" w:hAnsi="宋体" w:eastAsia="宋体" w:cs="宋体"/>
          <w:b w:val="0"/>
          <w:bCs/>
          <w:highlight w:val="none"/>
          <w:lang w:val="en-US" w:eastAsia="zh-CN"/>
        </w:rPr>
        <w:t>原厂商</w:t>
      </w:r>
      <w:r>
        <w:rPr>
          <w:rFonts w:hint="eastAsia" w:ascii="宋体" w:hAnsi="宋体" w:eastAsia="宋体" w:cs="宋体"/>
          <w:b w:val="0"/>
          <w:bCs/>
          <w:highlight w:val="none"/>
        </w:rPr>
        <w:t>授权书（原件或加盖投标单位公章的彩色打印件）；</w:t>
      </w:r>
    </w:p>
    <w:p w14:paraId="6A7B69C9">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yellow"/>
        </w:rPr>
      </w:pPr>
      <w:r>
        <w:rPr>
          <w:rFonts w:hint="eastAsia" w:ascii="宋体" w:hAnsi="宋体" w:eastAsia="宋体" w:cs="宋体"/>
          <w:b w:val="0"/>
          <w:bCs/>
          <w:highlight w:val="yellow"/>
        </w:rPr>
        <w:t>2022年1月1日至今，企业近三年同类项目业绩证明，须提供用户清单、采购合同复印件；</w:t>
      </w:r>
    </w:p>
    <w:p w14:paraId="2E43C7FD">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yellow"/>
        </w:rPr>
      </w:pPr>
      <w:r>
        <w:rPr>
          <w:rFonts w:hint="eastAsia" w:ascii="宋体" w:hAnsi="宋体" w:eastAsia="宋体" w:cs="宋体"/>
          <w:b w:val="0"/>
          <w:bCs/>
          <w:highlight w:val="yellow"/>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11459DF">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yellow"/>
        </w:rPr>
      </w:pPr>
      <w:r>
        <w:rPr>
          <w:rFonts w:hint="eastAsia" w:ascii="宋体" w:hAnsi="宋体" w:eastAsia="宋体" w:cs="宋体"/>
          <w:b w:val="0"/>
          <w:bCs/>
          <w:highlight w:val="yellow"/>
        </w:rPr>
        <w:t>近三年内在经营活动中无与本项目有关的违法及重大违规行为的声明；</w:t>
      </w:r>
    </w:p>
    <w:p w14:paraId="48D2A718">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yellow"/>
        </w:rPr>
      </w:pPr>
      <w:r>
        <w:rPr>
          <w:rFonts w:hint="eastAsia" w:ascii="宋体" w:hAnsi="宋体" w:eastAsia="宋体" w:cs="宋体"/>
          <w:b w:val="0"/>
          <w:bCs/>
          <w:highlight w:val="yellow"/>
        </w:rPr>
        <w:t>投标人在国家企业信用信息公示系统中无与本项目有关的行政处罚、经营异常和失信信息的声明；（附投标当日系统内相关截图或报告）</w:t>
      </w:r>
    </w:p>
    <w:p w14:paraId="7CB7B902">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企业信用证明材料（征信中心出具的信用报告）；</w:t>
      </w:r>
    </w:p>
    <w:p w14:paraId="2F1917FF">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企业最近半年完税证明</w:t>
      </w:r>
      <w:r>
        <w:rPr>
          <w:rFonts w:hint="eastAsia" w:ascii="宋体" w:hAnsi="宋体" w:eastAsia="宋体" w:cs="宋体"/>
          <w:b w:val="0"/>
          <w:bCs/>
          <w:highlight w:val="yellow"/>
          <w:lang w:eastAsia="zh-CN"/>
        </w:rPr>
        <w:t>，</w:t>
      </w:r>
      <w:r>
        <w:rPr>
          <w:rFonts w:hint="eastAsia" w:ascii="宋体" w:hAnsi="宋体" w:eastAsia="宋体" w:cs="宋体"/>
          <w:b w:val="0"/>
          <w:bCs/>
          <w:highlight w:val="yellow"/>
          <w:lang w:val="en-US" w:eastAsia="zh-CN"/>
        </w:rPr>
        <w:t>并附</w:t>
      </w:r>
      <w:r>
        <w:rPr>
          <w:rFonts w:hint="eastAsia" w:ascii="宋体" w:hAnsi="宋体" w:eastAsia="宋体" w:cs="宋体"/>
          <w:b w:val="0"/>
          <w:bCs/>
          <w:highlight w:val="yellow"/>
        </w:rPr>
        <w:t>年度纳税信用评价信息（可从电子税务局查询截图，需加盖公章）；</w:t>
      </w:r>
    </w:p>
    <w:p w14:paraId="66CC3FFB">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企业对外担保说明（写明贵单位对外有无对外担保和质押业务，需加盖公章）。</w:t>
      </w:r>
    </w:p>
    <w:p w14:paraId="177BD7B8">
      <w:pPr>
        <w:pStyle w:val="162"/>
        <w:numPr>
          <w:ilvl w:val="0"/>
          <w:numId w:val="15"/>
        </w:numPr>
        <w:ind w:left="425" w:leftChars="0" w:hanging="425" w:firstLineChars="0"/>
        <w:rPr>
          <w:rFonts w:hint="eastAsia" w:ascii="宋体" w:hAnsi="宋体" w:eastAsia="宋体" w:cs="宋体"/>
          <w:b w:val="0"/>
          <w:bCs/>
          <w:highlight w:val="yellow"/>
        </w:rPr>
      </w:pPr>
      <w:r>
        <w:rPr>
          <w:rFonts w:hint="eastAsia" w:ascii="宋体" w:hAnsi="宋体" w:eastAsia="宋体" w:cs="宋体"/>
          <w:b w:val="0"/>
          <w:bCs/>
          <w:highlight w:val="yellow"/>
        </w:rPr>
        <w:t>保密承诺函（附件4）；</w:t>
      </w:r>
    </w:p>
    <w:p w14:paraId="170B48B4">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有效期内的生产许可证（实行生产许可制度的企业提供）加盖公章（如需）；</w:t>
      </w:r>
    </w:p>
    <w:p w14:paraId="658F5222">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产品鉴定证书（如需）；</w:t>
      </w:r>
    </w:p>
    <w:p w14:paraId="76A5AD45">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质量体系认证证书（如需）；</w:t>
      </w:r>
    </w:p>
    <w:p w14:paraId="39B4FD7F">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产品和主要元器件“CCC”认证证书（如需）；</w:t>
      </w:r>
    </w:p>
    <w:p w14:paraId="6E11CA39">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产品的检测、检验报告复印件（如有，需权威部门出具）；</w:t>
      </w:r>
    </w:p>
    <w:p w14:paraId="53557C77">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招标文件要求的其它必要资格文件（如需）；</w:t>
      </w:r>
    </w:p>
    <w:p w14:paraId="67772FFE">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投标方认为对其投标有利的其他资料（如需）；</w:t>
      </w:r>
    </w:p>
    <w:p w14:paraId="00A299A2">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投标保证金缴纳凭证，同时正文描述付款账号、户名、开户行名称、开户行行号、保证金金额。</w:t>
      </w:r>
    </w:p>
    <w:p w14:paraId="0FCAA68A">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rPr>
      </w:pPr>
      <w:r>
        <w:rPr>
          <w:rFonts w:hint="eastAsia" w:ascii="宋体" w:hAnsi="宋体" w:eastAsia="宋体" w:cs="宋体"/>
          <w:b w:val="0"/>
          <w:bCs/>
          <w:highlight w:val="none"/>
        </w:rPr>
        <w:t>对于投标人资质审核不通过的，招标人有权拒绝其投标。</w:t>
      </w:r>
    </w:p>
    <w:p w14:paraId="35D922EF">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技术标：</w:t>
      </w:r>
    </w:p>
    <w:p w14:paraId="7CB8DE54">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技术配置对比表。</w:t>
      </w:r>
    </w:p>
    <w:p w14:paraId="1058197F">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技术规格偏离表</w:t>
      </w:r>
      <w:r>
        <w:rPr>
          <w:rFonts w:hint="eastAsia" w:ascii="宋体" w:hAnsi="宋体" w:eastAsia="宋体" w:cs="宋体"/>
          <w:color w:val="000000"/>
          <w:sz w:val="21"/>
          <w:szCs w:val="21"/>
          <w:highlight w:val="none"/>
        </w:rPr>
        <w:t>（附件5-1），</w:t>
      </w:r>
      <w:r>
        <w:rPr>
          <w:rFonts w:hint="eastAsia" w:ascii="宋体" w:hAnsi="宋体" w:eastAsia="宋体" w:cs="宋体"/>
          <w:b/>
          <w:color w:val="000000"/>
          <w:sz w:val="21"/>
          <w:szCs w:val="21"/>
          <w:highlight w:val="none"/>
        </w:rPr>
        <w:t>必须先进行两列要求一一对照，不允许直接写无偏离；</w:t>
      </w:r>
    </w:p>
    <w:p w14:paraId="69AE970B">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sz w:val="21"/>
          <w:szCs w:val="21"/>
          <w:highlight w:val="none"/>
        </w:rPr>
        <w:t>投标设备配置明细表</w:t>
      </w:r>
      <w:r>
        <w:rPr>
          <w:rFonts w:hint="eastAsia" w:ascii="宋体" w:hAnsi="宋体" w:eastAsia="宋体" w:cs="宋体"/>
          <w:color w:val="000000"/>
          <w:sz w:val="21"/>
          <w:szCs w:val="21"/>
          <w:highlight w:val="none"/>
        </w:rPr>
        <w:t>（附件5-2），列明项目设备分项配置规格型号、品牌等信息，非标机械部件提供单件图纸（要求分项明细与附表9-1完全对应），但</w:t>
      </w:r>
      <w:r>
        <w:rPr>
          <w:rFonts w:hint="eastAsia" w:ascii="宋体" w:hAnsi="宋体" w:eastAsia="宋体" w:cs="宋体"/>
          <w:b/>
          <w:color w:val="000000"/>
          <w:sz w:val="21"/>
          <w:szCs w:val="21"/>
          <w:highlight w:val="none"/>
        </w:rPr>
        <w:t>注意：此表在技术标书中，禁止出现任何分项价格及项目总价；</w:t>
      </w:r>
    </w:p>
    <w:p w14:paraId="5D2BBFAC">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技术性能、参数的描述； </w:t>
      </w:r>
    </w:p>
    <w:p w14:paraId="6E70AD99">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备品备件工具材料明细表； </w:t>
      </w:r>
    </w:p>
    <w:p w14:paraId="01FC52A9">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highlight w:val="none"/>
        </w:rPr>
        <w:t>供货期及保证措施；</w:t>
      </w:r>
    </w:p>
    <w:p w14:paraId="6C93BF9F">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产品的技术服务和售后服务内容及措施</w:t>
      </w:r>
      <w:r>
        <w:rPr>
          <w:rFonts w:hint="eastAsia" w:ascii="宋体" w:hAnsi="宋体" w:eastAsia="宋体" w:cs="宋体"/>
          <w:color w:val="000000"/>
          <w:sz w:val="21"/>
          <w:szCs w:val="21"/>
          <w:highlight w:val="none"/>
          <w:lang w:val="en-US" w:eastAsia="zh-CN"/>
        </w:rPr>
        <w:t>;</w:t>
      </w:r>
    </w:p>
    <w:p w14:paraId="1137C2E2">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交货进度及计划；</w:t>
      </w:r>
    </w:p>
    <w:p w14:paraId="076FA705">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投标产品技术支持材料；</w:t>
      </w:r>
    </w:p>
    <w:p w14:paraId="5C7DACD3">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设备质量承诺函（附件7）；</w:t>
      </w:r>
    </w:p>
    <w:p w14:paraId="47175D6D">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商务标：</w:t>
      </w:r>
    </w:p>
    <w:p w14:paraId="1FEC8CF2">
      <w:pPr>
        <w:pStyle w:val="162"/>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lang w:val="en-US" w:eastAsia="zh-CN"/>
        </w:rPr>
        <w:t>开标一览表（附件8）;</w:t>
      </w:r>
    </w:p>
    <w:p w14:paraId="0DFA5CBE">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投标函（附件</w:t>
      </w: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rPr>
        <w:t>）;</w:t>
      </w:r>
    </w:p>
    <w:p w14:paraId="647E2259">
      <w:pPr>
        <w:pStyle w:val="162"/>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投标报价明细表（附件9-1至9-5）</w:t>
      </w:r>
      <w:r>
        <w:rPr>
          <w:rFonts w:hint="eastAsia" w:ascii="宋体" w:hAnsi="宋体" w:eastAsia="宋体" w:cs="宋体"/>
          <w:b/>
          <w:bCs w:val="0"/>
          <w:sz w:val="21"/>
          <w:szCs w:val="21"/>
          <w:highlight w:val="none"/>
        </w:rPr>
        <w:t>【分项报价中需明确：规格型号、材质、重量、数量、品牌、价格等信息，注明是否包含加工费等其他费用】</w:t>
      </w:r>
      <w:r>
        <w:rPr>
          <w:rFonts w:hint="eastAsia" w:ascii="宋体" w:hAnsi="宋体" w:eastAsia="宋体" w:cs="宋体"/>
          <w:b w:val="0"/>
          <w:bCs/>
          <w:sz w:val="21"/>
          <w:szCs w:val="21"/>
          <w:highlight w:val="none"/>
        </w:rPr>
        <w:t>；</w:t>
      </w:r>
    </w:p>
    <w:p w14:paraId="5C36F232">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商务条款偏离表</w:t>
      </w:r>
      <w:r>
        <w:rPr>
          <w:rFonts w:hint="eastAsia" w:ascii="宋体" w:hAnsi="宋体" w:eastAsia="宋体" w:cs="宋体"/>
          <w:color w:val="000000"/>
          <w:sz w:val="21"/>
          <w:szCs w:val="21"/>
        </w:rPr>
        <w:t>（附件10）</w:t>
      </w:r>
      <w:r>
        <w:rPr>
          <w:rFonts w:hint="eastAsia" w:ascii="宋体" w:hAnsi="宋体" w:eastAsia="宋体" w:cs="宋体"/>
          <w:b w:val="0"/>
          <w:bCs/>
          <w:sz w:val="21"/>
          <w:szCs w:val="21"/>
          <w:highlight w:val="none"/>
        </w:rPr>
        <w:t>；</w:t>
      </w:r>
    </w:p>
    <w:p w14:paraId="365CA05E">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rPr>
        <w:t>投标人承诺（附件11）</w:t>
      </w:r>
    </w:p>
    <w:p w14:paraId="0BD75519">
      <w:pPr>
        <w:pStyle w:val="162"/>
        <w:numPr>
          <w:ilvl w:val="0"/>
          <w:numId w:val="18"/>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备配件目录价格及折扣报价表</w:t>
      </w:r>
    </w:p>
    <w:p w14:paraId="6D87D854">
      <w:pPr>
        <w:pStyle w:val="162"/>
        <w:numPr>
          <w:ilvl w:val="0"/>
          <w:numId w:val="18"/>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color w:val="000000"/>
          <w:sz w:val="21"/>
          <w:szCs w:val="21"/>
        </w:rPr>
        <w:t>服务承诺函（附件12），</w:t>
      </w:r>
      <w:r>
        <w:rPr>
          <w:rFonts w:hint="eastAsia" w:ascii="宋体" w:hAnsi="宋体" w:eastAsia="宋体" w:cs="宋体"/>
          <w:b/>
          <w:color w:val="000000"/>
          <w:sz w:val="21"/>
          <w:szCs w:val="21"/>
        </w:rPr>
        <w:t>需写明质保期以外服务费用情况</w:t>
      </w:r>
      <w:r>
        <w:rPr>
          <w:rFonts w:hint="eastAsia" w:ascii="宋体" w:hAnsi="宋体" w:eastAsia="宋体" w:cs="宋体"/>
          <w:color w:val="000000"/>
          <w:sz w:val="21"/>
          <w:szCs w:val="21"/>
        </w:rPr>
        <w:t>；</w:t>
      </w:r>
    </w:p>
    <w:p w14:paraId="53DECED4">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lang w:val="en-US" w:eastAsia="zh-CN"/>
        </w:rPr>
      </w:pPr>
      <w:r>
        <w:rPr>
          <w:rFonts w:hint="eastAsia" w:ascii="宋体" w:hAnsi="宋体" w:eastAsia="宋体" w:cs="宋体"/>
          <w:b w:val="0"/>
          <w:bCs/>
          <w:highlight w:val="none"/>
          <w:lang w:val="en-US" w:eastAsia="zh-CN"/>
        </w:rPr>
        <w:t>商务报价注意内容：</w:t>
      </w:r>
      <w:r>
        <w:rPr>
          <w:rFonts w:hint="eastAsia" w:ascii="宋体" w:hAnsi="宋体" w:eastAsia="宋体" w:cs="宋体"/>
          <w:b w:val="0"/>
          <w:bCs/>
          <w:highlight w:val="none"/>
        </w:rPr>
        <w:t>最高投标限价（招标控制价）：</w:t>
      </w:r>
      <w:r>
        <w:rPr>
          <w:rFonts w:hint="eastAsia" w:ascii="宋体" w:hAnsi="宋体" w:eastAsia="宋体" w:cs="宋体"/>
          <w:b w:val="0"/>
          <w:bCs/>
          <w:highlight w:val="yellow"/>
        </w:rPr>
        <w:t>人民币</w:t>
      </w:r>
      <w:r>
        <w:rPr>
          <w:rFonts w:hint="eastAsia" w:ascii="宋体" w:hAnsi="宋体" w:eastAsia="宋体" w:cs="宋体"/>
          <w:b w:val="0"/>
          <w:bCs/>
          <w:highlight w:val="yellow"/>
          <w:u w:val="single"/>
          <w:lang w:val="en-US" w:eastAsia="zh-CN"/>
        </w:rPr>
        <w:t xml:space="preserve">  15  </w:t>
      </w:r>
      <w:r>
        <w:rPr>
          <w:rFonts w:hint="eastAsia" w:ascii="宋体" w:hAnsi="宋体" w:eastAsia="宋体" w:cs="宋体"/>
          <w:b w:val="0"/>
          <w:bCs/>
          <w:highlight w:val="yellow"/>
        </w:rPr>
        <w:t>万元（含</w:t>
      </w:r>
      <w:r>
        <w:rPr>
          <w:rFonts w:hint="eastAsia" w:ascii="宋体" w:hAnsi="宋体" w:eastAsia="宋体" w:cs="宋体"/>
          <w:b w:val="0"/>
          <w:bCs/>
          <w:highlight w:val="yellow"/>
          <w:u w:val="single"/>
          <w:lang w:val="en-US" w:eastAsia="zh-CN"/>
        </w:rPr>
        <w:t>13</w:t>
      </w:r>
      <w:r>
        <w:rPr>
          <w:rFonts w:hint="eastAsia" w:ascii="宋体" w:hAnsi="宋体" w:eastAsia="宋体" w:cs="宋体"/>
          <w:b w:val="0"/>
          <w:bCs/>
          <w:highlight w:val="yellow"/>
        </w:rPr>
        <w:t>%增值税）</w:t>
      </w:r>
      <w:r>
        <w:rPr>
          <w:rFonts w:hint="eastAsia" w:ascii="宋体" w:hAnsi="宋体" w:eastAsia="宋体" w:cs="宋体"/>
          <w:b w:val="0"/>
          <w:bCs/>
          <w:highlight w:val="none"/>
        </w:rPr>
        <w:t>，超过投标限价无法投标。</w:t>
      </w:r>
    </w:p>
    <w:p w14:paraId="70E2A45F">
      <w:pPr>
        <w:pStyle w:val="159"/>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162"/>
        <w:numPr>
          <w:ilvl w:val="0"/>
          <w:numId w:val="19"/>
        </w:numPr>
        <w:ind w:left="425" w:leftChars="0" w:hanging="425" w:firstLineChars="0"/>
        <w:rPr>
          <w:rFonts w:hint="eastAsia" w:ascii="宋体" w:hAnsi="Courier New" w:eastAsia="宋体" w:cs="Times New Roman"/>
          <w:b/>
          <w:bCs w:val="0"/>
          <w:highlight w:val="none"/>
          <w:lang w:val="en-US" w:eastAsia="zh-CN"/>
        </w:rPr>
      </w:pPr>
      <w:r>
        <w:rPr>
          <w:rFonts w:hint="eastAsia" w:ascii="宋体" w:hAnsi="Courier New" w:eastAsia="宋体" w:cs="Times New Roman"/>
          <w:b/>
          <w:bCs w:val="0"/>
          <w:highlight w:val="none"/>
          <w:lang w:val="en-US" w:eastAsia="zh-CN"/>
        </w:rPr>
        <w:t>投标方式：</w:t>
      </w:r>
    </w:p>
    <w:p w14:paraId="66ACCFCD">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sz w:val="21"/>
          <w:szCs w:val="21"/>
          <w:highlight w:val="none"/>
        </w:rPr>
      </w:pPr>
      <w:r>
        <w:rPr>
          <w:rFonts w:hint="eastAsia" w:eastAsia="宋体" w:cs="宋体"/>
          <w:b/>
          <w:sz w:val="21"/>
          <w:szCs w:val="21"/>
          <w:highlight w:val="none"/>
        </w:rPr>
        <w:t>在中国重汽e采通平台应标成功后，进入“供应商投标”环节，投递盖章扫描版电子标书（包含资质标书、技术标书、商务标书），</w:t>
      </w:r>
      <w:r>
        <w:rPr>
          <w:rFonts w:ascii="宋体" w:hAnsi="宋体" w:eastAsia="宋体" w:cs="宋体"/>
          <w:sz w:val="21"/>
          <w:szCs w:val="21"/>
          <w:highlight w:val="none"/>
        </w:rPr>
        <w:t>若逾期未</w:t>
      </w:r>
      <w:r>
        <w:rPr>
          <w:rFonts w:hint="eastAsia" w:ascii="宋体" w:hAnsi="宋体" w:eastAsia="宋体" w:cs="宋体"/>
          <w:sz w:val="21"/>
          <w:szCs w:val="21"/>
          <w:highlight w:val="none"/>
        </w:rPr>
        <w:t>在中国</w:t>
      </w:r>
      <w:r>
        <w:rPr>
          <w:rFonts w:ascii="宋体" w:hAnsi="宋体" w:eastAsia="宋体" w:cs="宋体"/>
          <w:sz w:val="21"/>
          <w:szCs w:val="21"/>
          <w:highlight w:val="none"/>
        </w:rPr>
        <w:t>重汽e采通</w:t>
      </w:r>
      <w:r>
        <w:rPr>
          <w:rFonts w:hint="eastAsia" w:ascii="宋体" w:hAnsi="宋体" w:eastAsia="宋体" w:cs="宋体"/>
          <w:sz w:val="21"/>
          <w:szCs w:val="21"/>
          <w:highlight w:val="none"/>
        </w:rPr>
        <w:t>平台</w:t>
      </w:r>
      <w:r>
        <w:rPr>
          <w:rFonts w:ascii="宋体" w:hAnsi="宋体" w:eastAsia="宋体" w:cs="宋体"/>
          <w:sz w:val="21"/>
          <w:szCs w:val="21"/>
          <w:highlight w:val="none"/>
        </w:rPr>
        <w:t>上传</w:t>
      </w:r>
      <w:r>
        <w:rPr>
          <w:rFonts w:hint="eastAsia" w:ascii="宋体" w:hAnsi="宋体" w:eastAsia="宋体" w:cs="宋体"/>
          <w:sz w:val="21"/>
          <w:szCs w:val="21"/>
          <w:highlight w:val="none"/>
        </w:rPr>
        <w:t>电子</w:t>
      </w:r>
      <w:r>
        <w:rPr>
          <w:rFonts w:ascii="宋体" w:hAnsi="宋体" w:eastAsia="宋体" w:cs="宋体"/>
          <w:sz w:val="21"/>
          <w:szCs w:val="21"/>
          <w:highlight w:val="none"/>
        </w:rPr>
        <w:t>标书，即便递交了纸版投标文件，一律视为无效投标</w:t>
      </w:r>
      <w:r>
        <w:rPr>
          <w:rFonts w:hint="eastAsia" w:eastAsia="宋体" w:cs="宋体"/>
          <w:b/>
          <w:sz w:val="21"/>
          <w:szCs w:val="21"/>
          <w:highlight w:val="none"/>
        </w:rPr>
        <w:t>。</w:t>
      </w:r>
    </w:p>
    <w:p w14:paraId="26662468">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sz w:val="21"/>
          <w:szCs w:val="21"/>
          <w:highlight w:val="none"/>
        </w:rPr>
      </w:pPr>
      <w:r>
        <w:rPr>
          <w:rFonts w:hint="eastAsia" w:eastAsia="宋体" w:cs="宋体"/>
          <w:bCs/>
          <w:sz w:val="21"/>
          <w:szCs w:val="21"/>
          <w:highlight w:val="none"/>
        </w:rPr>
        <w:t>纸质版投标文件的份数要求为</w:t>
      </w:r>
      <w:r>
        <w:rPr>
          <w:rFonts w:hint="eastAsia" w:ascii="宋体" w:hAnsi="宋体" w:eastAsia="宋体" w:cs="宋体"/>
          <w:b/>
          <w:sz w:val="21"/>
          <w:szCs w:val="21"/>
          <w:highlight w:val="none"/>
        </w:rPr>
        <w:t>正本一份，副本</w:t>
      </w:r>
      <w:r>
        <w:rPr>
          <w:rFonts w:hint="eastAsia" w:ascii="宋体" w:hAnsi="宋体" w:eastAsia="宋体" w:cs="宋体"/>
          <w:b/>
          <w:sz w:val="21"/>
          <w:szCs w:val="21"/>
          <w:highlight w:val="none"/>
          <w:lang w:val="en-US" w:eastAsia="zh-CN"/>
        </w:rPr>
        <w:t>四</w:t>
      </w:r>
      <w:r>
        <w:rPr>
          <w:rFonts w:hint="eastAsia" w:ascii="宋体" w:hAnsi="宋体" w:eastAsia="宋体" w:cs="宋体"/>
          <w:b/>
          <w:sz w:val="21"/>
          <w:szCs w:val="21"/>
          <w:highlight w:val="none"/>
        </w:rPr>
        <w:t>份</w:t>
      </w:r>
      <w:r>
        <w:rPr>
          <w:rFonts w:hint="eastAsia" w:ascii="宋体" w:hAnsi="宋体" w:eastAsia="宋体" w:cs="宋体"/>
          <w:b/>
          <w:sz w:val="21"/>
          <w:szCs w:val="21"/>
          <w:highlight w:val="none"/>
          <w:lang w:eastAsia="zh-CN"/>
        </w:rPr>
        <w:t>，</w:t>
      </w:r>
      <w:r>
        <w:rPr>
          <w:rFonts w:hint="eastAsia" w:ascii="宋体" w:hAnsi="宋体" w:eastAsia="宋体" w:cs="宋体"/>
          <w:bCs/>
          <w:sz w:val="21"/>
          <w:szCs w:val="21"/>
          <w:highlight w:val="none"/>
        </w:rPr>
        <w:t>资质投标书、技术投标书及商务投标书的</w:t>
      </w:r>
      <w:r>
        <w:rPr>
          <w:rFonts w:hint="eastAsia" w:eastAsia="宋体" w:cs="宋体"/>
          <w:b/>
          <w:sz w:val="21"/>
          <w:szCs w:val="21"/>
          <w:highlight w:val="none"/>
        </w:rPr>
        <w:t>同类文件封装在一个包封里，包封表面按照附件13标注文件信息；共计三个包封</w:t>
      </w:r>
      <w:r>
        <w:rPr>
          <w:rFonts w:hint="eastAsia" w:eastAsia="宋体" w:cs="宋体"/>
          <w:bCs/>
          <w:sz w:val="21"/>
          <w:szCs w:val="21"/>
          <w:highlight w:val="none"/>
        </w:rPr>
        <w:t>。</w:t>
      </w:r>
    </w:p>
    <w:p w14:paraId="5F9B5E05">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sz w:val="21"/>
          <w:szCs w:val="21"/>
          <w:highlight w:val="none"/>
        </w:rPr>
      </w:pPr>
      <w:r>
        <w:rPr>
          <w:rFonts w:hint="eastAsia" w:eastAsia="宋体" w:cs="宋体" w:asciiTheme="minorHAnsi" w:hAnsiTheme="minorHAnsi"/>
          <w:bCs/>
          <w:sz w:val="21"/>
          <w:szCs w:val="21"/>
          <w:highlight w:val="none"/>
        </w:rPr>
        <w:t>如选择到场参与开标，自行携带纸质投标文件于开标前至开标地点即可。</w:t>
      </w:r>
    </w:p>
    <w:p w14:paraId="50A15930">
      <w:pPr>
        <w:pStyle w:val="16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Courier New" w:eastAsia="宋体" w:cs="Times New Roman"/>
          <w:b w:val="0"/>
          <w:bCs/>
          <w:sz w:val="21"/>
          <w:szCs w:val="21"/>
          <w:highlight w:val="none"/>
          <w:lang w:val="en-US" w:eastAsia="zh-CN"/>
        </w:rPr>
      </w:pPr>
      <w:r>
        <w:rPr>
          <w:rFonts w:hint="eastAsia" w:eastAsia="宋体" w:cs="宋体" w:asciiTheme="minorHAnsi" w:hAnsiTheme="minorHAnsi"/>
          <w:bCs/>
          <w:sz w:val="21"/>
          <w:szCs w:val="21"/>
          <w:highlight w:val="none"/>
        </w:rPr>
        <w:t>如选择线上参与开标，纸质投标文件需在开标日前两天，邮寄到指定地址。</w:t>
      </w:r>
    </w:p>
    <w:p w14:paraId="430BD106">
      <w:pPr>
        <w:pStyle w:val="162"/>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bCs w:val="0"/>
          <w:highlight w:val="none"/>
          <w:lang w:val="en-US" w:eastAsia="zh-CN"/>
        </w:rPr>
        <w:t>邮寄地址：</w:t>
      </w:r>
      <w:r>
        <w:rPr>
          <w:rFonts w:hint="eastAsia" w:ascii="宋体" w:hAnsi="Courier New" w:eastAsia="宋体" w:cs="Times New Roman"/>
          <w:b w:val="0"/>
          <w:bCs/>
          <w:highlight w:val="none"/>
          <w:lang w:val="en-US" w:eastAsia="zh-CN"/>
        </w:rPr>
        <w:t>山东省济南市章丘区潘王路东园区十一号路北，重汽（济南）轻卡有限公司</w:t>
      </w:r>
    </w:p>
    <w:p w14:paraId="2079F016">
      <w:pPr>
        <w:pStyle w:val="162"/>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联系人及联系方式：</w:t>
      </w:r>
      <w:r>
        <w:rPr>
          <w:rFonts w:hint="eastAsia" w:ascii="宋体" w:hAnsi="Courier New" w:eastAsia="宋体" w:cs="Times New Roman"/>
          <w:b w:val="0"/>
          <w:bCs/>
          <w:highlight w:val="none"/>
          <w:lang w:val="en-US" w:eastAsia="zh-CN"/>
        </w:rPr>
        <w:t>许娅楠/15002582216</w:t>
      </w:r>
    </w:p>
    <w:p w14:paraId="4AAA3F9B">
      <w:pPr>
        <w:pStyle w:val="162"/>
        <w:numPr>
          <w:ilvl w:val="0"/>
          <w:numId w:val="19"/>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bCs w:val="0"/>
          <w:highlight w:val="yellow"/>
          <w:lang w:val="en-US" w:eastAsia="zh-CN"/>
        </w:rPr>
        <w:t>投标文件递交截止时间：</w:t>
      </w:r>
      <w:r>
        <w:rPr>
          <w:rFonts w:hint="eastAsia" w:ascii="宋体" w:hAnsi="Courier New" w:eastAsia="宋体" w:cs="Times New Roman"/>
          <w:b w:val="0"/>
          <w:bCs/>
          <w:highlight w:val="yellow"/>
          <w:lang w:val="en-US" w:eastAsia="zh-CN"/>
        </w:rPr>
        <w:t>2026年</w:t>
      </w:r>
      <w:r>
        <w:rPr>
          <w:rFonts w:hint="eastAsia" w:eastAsia="宋体" w:cs="Times New Roman"/>
          <w:b w:val="0"/>
          <w:bCs/>
          <w:highlight w:val="yellow"/>
          <w:lang w:val="en-US" w:eastAsia="zh-CN"/>
        </w:rPr>
        <w:t>5</w:t>
      </w:r>
      <w:r>
        <w:rPr>
          <w:rFonts w:hint="eastAsia" w:ascii="宋体" w:hAnsi="Courier New" w:eastAsia="宋体" w:cs="Times New Roman"/>
          <w:b w:val="0"/>
          <w:bCs/>
          <w:highlight w:val="yellow"/>
          <w:lang w:val="en-US" w:eastAsia="zh-CN"/>
        </w:rPr>
        <w:t>月</w:t>
      </w:r>
      <w:r>
        <w:rPr>
          <w:rFonts w:hint="eastAsia" w:eastAsia="宋体" w:cs="Times New Roman"/>
          <w:b w:val="0"/>
          <w:bCs/>
          <w:highlight w:val="yellow"/>
          <w:lang w:val="en-US" w:eastAsia="zh-CN"/>
        </w:rPr>
        <w:t>9</w:t>
      </w:r>
      <w:r>
        <w:rPr>
          <w:rFonts w:hint="eastAsia" w:ascii="宋体" w:hAnsi="Courier New" w:eastAsia="宋体" w:cs="Times New Roman"/>
          <w:b w:val="0"/>
          <w:bCs/>
          <w:highlight w:val="yellow"/>
          <w:lang w:val="en-US" w:eastAsia="zh-CN"/>
        </w:rPr>
        <w:t>日上午9:00:00</w:t>
      </w:r>
    </w:p>
    <w:p w14:paraId="7C4A86A7">
      <w:pPr>
        <w:pStyle w:val="162"/>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投标文件有效期：</w:t>
      </w:r>
      <w:r>
        <w:rPr>
          <w:rFonts w:hint="eastAsia" w:ascii="宋体" w:hAnsi="Courier New" w:eastAsia="宋体" w:cs="Times New Roman"/>
          <w:b w:val="0"/>
          <w:bCs/>
          <w:highlight w:val="none"/>
          <w:lang w:val="en-US" w:eastAsia="zh-CN"/>
        </w:rPr>
        <w:t>自开标之日起90个日历日</w:t>
      </w:r>
    </w:p>
    <w:p w14:paraId="1A6981D7">
      <w:pPr>
        <w:pStyle w:val="16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纸质版投标文件和电子版投标文件必须保证内容一致；如确实存在不一致的，以电子标书为准，同时要求投标人对纸版标书做出修正。</w:t>
      </w:r>
    </w:p>
    <w:p w14:paraId="16AF48F3">
      <w:pPr>
        <w:pStyle w:val="16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ascii="宋体" w:hAnsi="宋体" w:eastAsia="宋体" w:cs="宋体"/>
          <w:sz w:val="21"/>
          <w:szCs w:val="21"/>
        </w:rPr>
      </w:pPr>
      <w:r>
        <w:rPr>
          <w:rFonts w:hint="eastAsia" w:ascii="宋体" w:hAnsi="宋体" w:eastAsia="宋体" w:cs="宋体"/>
          <w:b/>
          <w:bCs/>
          <w:sz w:val="21"/>
          <w:szCs w:val="21"/>
        </w:rPr>
        <w:t>投标文件的装订：</w:t>
      </w:r>
      <w:r>
        <w:rPr>
          <w:rFonts w:hint="eastAsia" w:ascii="宋体" w:hAnsi="宋体" w:eastAsia="宋体" w:cs="宋体"/>
          <w:sz w:val="21"/>
          <w:szCs w:val="21"/>
        </w:rPr>
        <w:t>投标人必须将投标文件按照资质标文件1册、技术标文件1册、商务标文件1册</w:t>
      </w:r>
      <w:r>
        <w:rPr>
          <w:rFonts w:hint="eastAsia" w:ascii="宋体" w:hAnsi="宋体" w:eastAsia="宋体" w:cs="宋体"/>
          <w:b/>
          <w:bCs/>
          <w:sz w:val="21"/>
          <w:szCs w:val="21"/>
        </w:rPr>
        <w:t>分别进行</w:t>
      </w:r>
      <w:r>
        <w:rPr>
          <w:rFonts w:hint="eastAsia" w:ascii="宋体" w:hAnsi="宋体" w:eastAsia="宋体" w:cs="宋体"/>
          <w:bCs/>
          <w:sz w:val="21"/>
          <w:szCs w:val="21"/>
        </w:rPr>
        <w:t>胶装</w:t>
      </w:r>
      <w:r>
        <w:rPr>
          <w:rFonts w:hint="eastAsia" w:ascii="宋体" w:hAnsi="宋体" w:eastAsia="宋体" w:cs="宋体"/>
          <w:sz w:val="21"/>
          <w:szCs w:val="21"/>
        </w:rPr>
        <w:t>，各自不允许超过两册。</w:t>
      </w:r>
    </w:p>
    <w:p w14:paraId="695FE65D">
      <w:pPr>
        <w:pStyle w:val="16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sz w:val="21"/>
          <w:szCs w:val="21"/>
          <w:highlight w:val="none"/>
          <w:lang w:val="en-US" w:eastAsia="zh-CN"/>
        </w:rPr>
      </w:pPr>
      <w:r>
        <w:rPr>
          <w:rFonts w:hint="eastAsia" w:hAnsi="宋体" w:eastAsia="宋体" w:cs="宋体"/>
          <w:b/>
          <w:bCs/>
          <w:sz w:val="21"/>
          <w:szCs w:val="21"/>
        </w:rPr>
        <w:t>技术标书和商务标书不单独装订的，投标文件做无效标处理。</w:t>
      </w:r>
    </w:p>
    <w:p w14:paraId="25974AAC">
      <w:pPr>
        <w:pStyle w:val="158"/>
        <w:rPr>
          <w:rFonts w:hint="eastAsia" w:hAnsi="Courier New" w:cs="Times New Roman"/>
          <w:highlight w:val="none"/>
        </w:rPr>
      </w:pPr>
      <w:bookmarkStart w:id="2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158"/>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158"/>
        <w:numPr>
          <w:ilvl w:val="0"/>
          <w:numId w:val="21"/>
        </w:numPr>
        <w:ind w:left="425" w:leftChars="0" w:hanging="425" w:firstLineChars="0"/>
        <w:rPr>
          <w:rFonts w:hint="eastAsia"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w:t>
      </w:r>
      <w:r>
        <w:rPr>
          <w:rFonts w:hint="eastAsia" w:ascii="宋体" w:hAnsi="宋体" w:eastAsia="宋体" w:cs="宋体"/>
          <w:b/>
          <w:bCs/>
          <w:sz w:val="21"/>
          <w:szCs w:val="21"/>
          <w:highlight w:val="none"/>
          <w:lang w:val="en-US" w:eastAsia="zh-CN"/>
        </w:rPr>
        <w:t>的缴纳</w:t>
      </w:r>
      <w:r>
        <w:rPr>
          <w:rFonts w:hint="eastAsia" w:ascii="宋体" w:hAnsi="宋体" w:eastAsia="宋体" w:cs="宋体"/>
          <w:b/>
          <w:bCs/>
          <w:sz w:val="21"/>
          <w:szCs w:val="21"/>
          <w:highlight w:val="none"/>
        </w:rPr>
        <w:t>形式：电汇</w:t>
      </w:r>
    </w:p>
    <w:p w14:paraId="04CD311F">
      <w:pPr>
        <w:pStyle w:val="158"/>
        <w:numPr>
          <w:ilvl w:val="0"/>
          <w:numId w:val="21"/>
        </w:numPr>
        <w:ind w:left="425" w:leftChars="0" w:hanging="425" w:firstLineChars="0"/>
        <w:rPr>
          <w:rFonts w:hint="default"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投标保证金的金额：</w:t>
      </w:r>
      <w:r>
        <w:rPr>
          <w:rFonts w:hint="eastAsia" w:ascii="宋体" w:hAnsi="宋体" w:eastAsia="宋体" w:cs="宋体"/>
          <w:b/>
          <w:bCs/>
          <w:sz w:val="21"/>
          <w:szCs w:val="21"/>
          <w:highlight w:val="yellow"/>
        </w:rPr>
        <w:t>人民币</w:t>
      </w:r>
      <w:r>
        <w:rPr>
          <w:rFonts w:hint="eastAsia" w:ascii="宋体" w:hAnsi="宋体" w:eastAsia="宋体" w:cs="宋体"/>
          <w:b/>
          <w:bCs/>
          <w:sz w:val="21"/>
          <w:szCs w:val="21"/>
          <w:highlight w:val="yellow"/>
          <w:u w:val="single"/>
          <w:lang w:val="en-US" w:eastAsia="zh-CN"/>
        </w:rPr>
        <w:t xml:space="preserve"> 5000 </w:t>
      </w:r>
      <w:r>
        <w:rPr>
          <w:rFonts w:hint="eastAsia" w:ascii="宋体" w:hAnsi="宋体" w:eastAsia="宋体" w:cs="宋体"/>
          <w:b/>
          <w:bCs/>
          <w:sz w:val="21"/>
          <w:szCs w:val="21"/>
          <w:highlight w:val="yellow"/>
        </w:rPr>
        <w:t>元</w:t>
      </w:r>
    </w:p>
    <w:p w14:paraId="2F610038">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开户名称：中国重汽集团济南商用车有限公司</w:t>
      </w:r>
    </w:p>
    <w:p w14:paraId="302C9541">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开户银行：中国银行股份有限公司济南分行</w:t>
      </w:r>
    </w:p>
    <w:p w14:paraId="20810528">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银行账号：237744219844</w:t>
      </w:r>
    </w:p>
    <w:p w14:paraId="2D61FFA7">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联行号：104451039687</w:t>
      </w:r>
    </w:p>
    <w:p w14:paraId="1591D62C">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投标保证金应从投标人的基本账户转出至上述账户并到账，否则视为无效投标。转账附言：公司名称+项目名称+投标保证金。</w:t>
      </w:r>
    </w:p>
    <w:p w14:paraId="5568414C">
      <w:pPr>
        <w:pStyle w:val="158"/>
        <w:numPr>
          <w:ilvl w:val="0"/>
          <w:numId w:val="21"/>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yellow"/>
        </w:rPr>
        <w:t>保证金缴纳截止时间：2026年</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28</w:t>
      </w:r>
      <w:r>
        <w:rPr>
          <w:rFonts w:hint="eastAsia" w:ascii="宋体" w:hAnsi="宋体" w:eastAsia="宋体" w:cs="宋体"/>
          <w:b w:val="0"/>
          <w:bCs w:val="0"/>
          <w:sz w:val="21"/>
          <w:szCs w:val="21"/>
          <w:highlight w:val="yellow"/>
        </w:rPr>
        <w:t>日17:00（同应标截止时间）</w:t>
      </w:r>
    </w:p>
    <w:p w14:paraId="7486A087">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个</w:t>
      </w:r>
      <w:r>
        <w:rPr>
          <w:rFonts w:hint="eastAsia" w:ascii="宋体" w:hAnsi="宋体" w:eastAsia="宋体" w:cs="宋体"/>
          <w:b w:val="0"/>
          <w:bCs w:val="0"/>
          <w:sz w:val="21"/>
          <w:szCs w:val="21"/>
          <w:highlight w:val="none"/>
        </w:rPr>
        <w:t>工作日内原路返还（无息）。</w:t>
      </w:r>
    </w:p>
    <w:p w14:paraId="271EC8CF">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①供应商在提交响应文件截止时间后撤回响应文件的；投标人递送投标文件后，无正当理由放弃投标的；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21"/>
    <w:p w14:paraId="368B6990">
      <w:pPr>
        <w:pStyle w:val="158"/>
      </w:pPr>
      <w:r>
        <w:rPr>
          <w:rFonts w:hint="eastAsia"/>
          <w:lang w:val="en-US" w:eastAsia="zh-CN"/>
        </w:rPr>
        <w:t>开评标</w:t>
      </w:r>
    </w:p>
    <w:p w14:paraId="009655B5">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开标时间：2026年5月9</w:t>
      </w:r>
      <w:bookmarkStart w:id="163" w:name="_GoBack"/>
      <w:bookmarkEnd w:id="163"/>
      <w:r>
        <w:rPr>
          <w:rFonts w:hint="eastAsia" w:ascii="宋体" w:hAnsi="宋体" w:eastAsia="宋体" w:cs="宋体"/>
          <w:b w:val="0"/>
          <w:bCs w:val="0"/>
          <w:sz w:val="21"/>
          <w:szCs w:val="21"/>
          <w:highlight w:val="yellow"/>
          <w:lang w:val="en-US" w:eastAsia="zh-CN"/>
        </w:rPr>
        <w:t>日9:00:00（暂定，以实际通知为准）</w:t>
      </w:r>
    </w:p>
    <w:p w14:paraId="06F7B67A">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开标地点：山东省济南市章丘区潘王路东园区十一号路北，济南轻卡制造公司</w:t>
      </w:r>
    </w:p>
    <w:p w14:paraId="420F0E0C">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4DCBC48A">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14:paraId="3EF8D0F8">
      <w:pPr>
        <w:pStyle w:val="158"/>
        <w:keepNext w:val="0"/>
        <w:keepLines w:val="0"/>
        <w:pageBreakBefore w:val="0"/>
        <w:widowControl w:val="0"/>
        <w:numPr>
          <w:ilvl w:val="0"/>
          <w:numId w:val="23"/>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33F41722">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sz w:val="21"/>
          <w:szCs w:val="21"/>
          <w:highlight w:val="none"/>
          <w:lang w:val="en-US" w:eastAsia="zh-CN"/>
        </w:rPr>
      </w:pPr>
      <w:r>
        <w:rPr>
          <w:rFonts w:hint="eastAsia" w:ascii="宋体" w:hAnsi="宋体" w:eastAsia="宋体" w:cs="宋体"/>
          <w:b/>
          <w:bCs/>
          <w:sz w:val="21"/>
          <w:szCs w:val="21"/>
        </w:rPr>
        <w:t>资质标审核</w:t>
      </w:r>
      <w:bookmarkStart w:id="22" w:name="OLE_LINK2"/>
      <w:r>
        <w:rPr>
          <w:rFonts w:hint="eastAsia" w:ascii="宋体" w:hAnsi="宋体" w:eastAsia="宋体" w:cs="宋体"/>
          <w:b/>
          <w:bCs/>
          <w:sz w:val="21"/>
          <w:szCs w:val="21"/>
        </w:rPr>
        <w:t>→</w:t>
      </w:r>
      <w:bookmarkEnd w:id="22"/>
      <w:r>
        <w:rPr>
          <w:rFonts w:hint="eastAsia" w:ascii="宋体" w:hAnsi="宋体" w:eastAsia="宋体" w:cs="宋体"/>
          <w:b/>
          <w:bCs/>
          <w:sz w:val="21"/>
          <w:szCs w:val="21"/>
        </w:rPr>
        <w:t>唱标→技术标评审→商务标评审。</w:t>
      </w:r>
    </w:p>
    <w:p w14:paraId="45816947">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158"/>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7DFEB4C">
      <w:pPr>
        <w:pStyle w:val="158"/>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0B2A8F6D">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w:t>
      </w:r>
      <w:r>
        <w:rPr>
          <w:rFonts w:hint="eastAsia" w:ascii="宋体" w:hAnsi="宋体" w:cs="宋体"/>
          <w:b/>
          <w:bCs/>
          <w:color w:val="000000"/>
          <w:sz w:val="21"/>
          <w:szCs w:val="21"/>
          <w:highlight w:val="none"/>
          <w:lang w:val="en-US" w:eastAsia="zh-CN"/>
        </w:rPr>
        <w:t>23</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通过应标资格审查的单位进入投标环节，按照“SRM系统供应商用户手册（附件1</w:t>
      </w:r>
      <w:r>
        <w:rPr>
          <w:rFonts w:hint="eastAsia" w:ascii="宋体" w:hAnsi="宋体" w:eastAsia="宋体" w:cs="宋体"/>
          <w:b/>
          <w:bCs/>
          <w:color w:val="000000"/>
          <w:sz w:val="21"/>
          <w:szCs w:val="21"/>
          <w:highlight w:val="none"/>
          <w:lang w:val="en-US" w:eastAsia="zh-CN"/>
        </w:rPr>
        <w:t>7</w:t>
      </w:r>
      <w:r>
        <w:rPr>
          <w:rFonts w:hint="eastAsia" w:ascii="宋体" w:hAnsi="宋体" w:eastAsia="宋体" w:cs="宋体"/>
          <w:b/>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bCs/>
          <w:sz w:val="21"/>
          <w:szCs w:val="21"/>
          <w:highlight w:val="yellow"/>
          <w:lang w:val="en-US" w:eastAsia="zh-CN"/>
        </w:rPr>
        <w:t>评分标准</w:t>
      </w:r>
    </w:p>
    <w:tbl>
      <w:tblPr>
        <w:tblStyle w:val="38"/>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C3A41D4">
            <w:pPr>
              <w:spacing w:line="320" w:lineRule="exact"/>
              <w:ind w:right="34" w:rightChars="16"/>
              <w:jc w:val="center"/>
              <w:rPr>
                <w:b/>
                <w:szCs w:val="21"/>
              </w:rPr>
            </w:pPr>
            <w:r>
              <w:rPr>
                <w:rFonts w:hint="eastAsia"/>
                <w:b/>
              </w:rPr>
              <w:t>最高</w:t>
            </w:r>
          </w:p>
          <w:p w14:paraId="2F5235E4">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sz w:val="21"/>
                <w:szCs w:val="21"/>
                <w:lang w:val="en-US" w:eastAsia="zh-CN"/>
              </w:rPr>
            </w:pPr>
            <w:r>
              <w:rPr>
                <w:rFonts w:hint="eastAsia" w:ascii="宋体"/>
                <w:b/>
                <w:bCs/>
                <w:sz w:val="21"/>
                <w:szCs w:val="21"/>
                <w:lang w:val="en-US" w:eastAsia="zh-CN"/>
              </w:rPr>
              <w:t>40%</w:t>
            </w:r>
          </w:p>
        </w:tc>
        <w:tc>
          <w:tcPr>
            <w:tcW w:w="970" w:type="dxa"/>
            <w:tcBorders>
              <w:top w:val="single" w:color="auto" w:sz="4" w:space="0"/>
              <w:left w:val="single" w:color="auto" w:sz="4" w:space="0"/>
              <w:right w:val="single" w:color="auto" w:sz="4" w:space="0"/>
            </w:tcBorders>
            <w:shd w:val="clear" w:color="auto" w:fill="auto"/>
            <w:vAlign w:val="center"/>
          </w:tcPr>
          <w:p w14:paraId="5BF07162">
            <w:pPr>
              <w:pStyle w:val="10"/>
              <w:spacing w:after="0" w:line="32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 w:val="21"/>
                <w:szCs w:val="21"/>
                <w:lang w:val="en-US" w:eastAsia="zh-CN"/>
              </w:rPr>
            </w:pPr>
            <w:r>
              <w:rPr>
                <w:rFonts w:hint="eastAsia" w:ascii="宋体"/>
                <w:sz w:val="21"/>
                <w:szCs w:val="21"/>
                <w:lang w:val="en-US" w:eastAsia="zh-CN"/>
              </w:rPr>
              <w:t>60</w:t>
            </w:r>
          </w:p>
        </w:tc>
        <w:tc>
          <w:tcPr>
            <w:tcW w:w="6153" w:type="dxa"/>
            <w:tcBorders>
              <w:top w:val="single" w:color="auto" w:sz="4" w:space="0"/>
              <w:left w:val="single" w:color="auto" w:sz="4" w:space="0"/>
              <w:bottom w:val="single" w:color="auto" w:sz="4" w:space="0"/>
              <w:right w:val="single" w:color="auto" w:sz="4" w:space="0"/>
            </w:tcBorders>
            <w:shd w:val="clear" w:color="auto" w:fill="auto"/>
            <w:vAlign w:val="center"/>
          </w:tcPr>
          <w:p w14:paraId="0D3158A6">
            <w:pPr>
              <w:pStyle w:val="10"/>
              <w:spacing w:after="0" w:line="32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24E38C93">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产品质量及保证措施</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63E546">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51BDE9C">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5A5091">
            <w:pPr>
              <w:pStyle w:val="10"/>
              <w:spacing w:after="0" w:line="340" w:lineRule="exact"/>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DA920A2">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供货周期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6B47D799">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3C5F9C32">
            <w:pPr>
              <w:pStyle w:val="10"/>
              <w:spacing w:after="0" w:line="340" w:lineRule="exact"/>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质保期及售后服务</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220B1BA5">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60%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6153" w:type="dxa"/>
            <w:tcBorders>
              <w:top w:val="single" w:color="auto" w:sz="4" w:space="0"/>
              <w:left w:val="single" w:color="auto" w:sz="4" w:space="0"/>
              <w:bottom w:val="nil"/>
              <w:right w:val="single" w:color="auto" w:sz="4" w:space="0"/>
            </w:tcBorders>
            <w:vAlign w:val="center"/>
          </w:tcPr>
          <w:p w14:paraId="6246645D">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1F5BA08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C0A112D">
      <w:pPr>
        <w:pStyle w:val="158"/>
      </w:pPr>
      <w:r>
        <w:rPr>
          <w:rFonts w:hint="eastAsia"/>
          <w:lang w:val="en-US" w:eastAsia="zh-CN"/>
        </w:rPr>
        <w:t>定标</w:t>
      </w:r>
    </w:p>
    <w:p w14:paraId="6B705137">
      <w:pPr>
        <w:pStyle w:val="158"/>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158"/>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4376CE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2DC546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3" w:name="OLE_LINK27"/>
      <w:bookmarkStart w:id="24" w:name="OLE_LINK29"/>
      <w:bookmarkStart w:id="25" w:name="OLE_LINK25"/>
      <w:bookmarkStart w:id="26" w:name="OLE_LINK26"/>
      <w:bookmarkStart w:id="27" w:name="OLE_LINK28"/>
      <w:r>
        <w:rPr>
          <w:rFonts w:hint="eastAsia" w:ascii="宋体" w:hAnsi="宋体" w:eastAsia="宋体" w:cs="宋体"/>
          <w:bCs/>
          <w:sz w:val="21"/>
          <w:szCs w:val="21"/>
          <w:highlight w:val="none"/>
        </w:rPr>
        <w:t>；</w:t>
      </w:r>
      <w:bookmarkEnd w:id="23"/>
      <w:bookmarkEnd w:id="24"/>
      <w:bookmarkEnd w:id="25"/>
      <w:bookmarkEnd w:id="26"/>
      <w:bookmarkEnd w:id="27"/>
    </w:p>
    <w:p w14:paraId="24E36D3A">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default" w:ascii="宋体" w:hAnsi="宋体" w:eastAsia="宋体" w:cs="宋体"/>
          <w:bCs/>
          <w:kern w:val="2"/>
          <w:sz w:val="21"/>
          <w:szCs w:val="21"/>
          <w:lang w:val="en-US" w:eastAsia="zh-CN" w:bidi="ar-SA"/>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kern w:val="2"/>
          <w:sz w:val="21"/>
          <w:szCs w:val="21"/>
          <w:highlight w:val="none"/>
          <w:lang w:val="en-US" w:eastAsia="zh-CN" w:bidi="ar-SA"/>
        </w:rPr>
        <w:t>投标人投标文件付款方式偏离招标文件的；</w:t>
      </w:r>
    </w:p>
    <w:p w14:paraId="5CD1D19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eastAsia" w:hAnsi="宋体" w:cs="宋体"/>
          <w:bCs/>
          <w:sz w:val="21"/>
          <w:szCs w:val="21"/>
          <w:highlight w:val="none"/>
          <w:lang w:val="en-US" w:eastAsia="zh-CN"/>
        </w:rPr>
        <w:t>(6)</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158"/>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158"/>
      </w:pPr>
      <w:r>
        <w:rPr>
          <w:rFonts w:hint="eastAsia"/>
          <w:lang w:val="en-US" w:eastAsia="zh-CN"/>
        </w:rPr>
        <w:t>交货及付款</w:t>
      </w:r>
    </w:p>
    <w:p w14:paraId="0DD46053">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交货期：</w:t>
      </w:r>
    </w:p>
    <w:p w14:paraId="26F1805D">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Ansi="宋体" w:eastAsia="宋体" w:cs="宋体"/>
          <w:b w:val="0"/>
          <w:bCs w:val="0"/>
          <w:color w:val="000000"/>
          <w:sz w:val="21"/>
          <w:szCs w:val="21"/>
          <w:highlight w:val="none"/>
        </w:rPr>
      </w:pPr>
      <w:r>
        <w:rPr>
          <w:rFonts w:hint="eastAsia" w:hAnsi="宋体" w:eastAsia="宋体" w:cs="宋体"/>
          <w:b w:val="0"/>
          <w:bCs w:val="0"/>
          <w:color w:val="000000"/>
          <w:sz w:val="21"/>
          <w:szCs w:val="21"/>
          <w:highlight w:val="none"/>
        </w:rPr>
        <w:t>2026年5月21日设备进场</w:t>
      </w:r>
    </w:p>
    <w:p w14:paraId="2A3E3A16">
      <w:pPr>
        <w:pStyle w:val="15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sz w:val="21"/>
          <w:szCs w:val="21"/>
          <w:highlight w:val="none"/>
          <w:lang w:val="en-US" w:eastAsia="zh-CN"/>
        </w:rPr>
      </w:pPr>
      <w:r>
        <w:rPr>
          <w:rFonts w:hint="eastAsia" w:hAnsi="宋体" w:eastAsia="宋体" w:cs="宋体"/>
          <w:b w:val="0"/>
          <w:bCs w:val="0"/>
          <w:color w:val="000000"/>
          <w:sz w:val="21"/>
          <w:szCs w:val="21"/>
          <w:highlight w:val="none"/>
        </w:rPr>
        <w:t>安装调试工期超过规定时间的，投标人应当随标书提供详细的工期计划。</w:t>
      </w:r>
    </w:p>
    <w:p w14:paraId="6AAC4A46">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山东省济南市章丘区圣井街道潘王路西，济南轻卡制造公司。</w:t>
      </w:r>
    </w:p>
    <w:p w14:paraId="6C8560A2">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交钥匙方式；</w:t>
      </w:r>
    </w:p>
    <w:p w14:paraId="43B2BED5">
      <w:pPr>
        <w:pStyle w:val="158"/>
        <w:numPr>
          <w:ilvl w:val="0"/>
          <w:numId w:val="26"/>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bCs/>
          <w:sz w:val="21"/>
          <w:szCs w:val="21"/>
          <w:highlight w:val="none"/>
          <w:lang w:eastAsia="zh-CN"/>
        </w:rPr>
        <w:t>：</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158"/>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kern w:val="2"/>
          <w:sz w:val="21"/>
          <w:szCs w:val="21"/>
          <w:highlight w:val="none"/>
          <w:lang w:val="en-US" w:eastAsia="zh-CN" w:bidi="ar-SA"/>
        </w:rPr>
        <w:t>5</w:t>
      </w:r>
      <w:r>
        <w:rPr>
          <w:rFonts w:hint="default" w:ascii="宋体" w:hAnsi="宋体" w:eastAsia="宋体" w:cs="宋体"/>
          <w:b/>
          <w:bCs/>
          <w:kern w:val="2"/>
          <w:sz w:val="21"/>
          <w:szCs w:val="21"/>
          <w:highlight w:val="none"/>
          <w:lang w:val="en-US" w:eastAsia="zh-CN" w:bidi="ar-SA"/>
        </w:rPr>
        <w:t>.</w:t>
      </w:r>
      <w:r>
        <w:rPr>
          <w:rFonts w:hint="eastAsia" w:ascii="宋体" w:hAnsi="宋体" w:eastAsia="宋体" w:cs="宋体"/>
          <w:b/>
          <w:bCs/>
          <w:sz w:val="21"/>
          <w:szCs w:val="21"/>
          <w:highlight w:val="none"/>
          <w:lang w:val="en-US" w:eastAsia="zh-CN"/>
        </w:rPr>
        <w:t>付款节点：3:6:1</w:t>
      </w:r>
    </w:p>
    <w:p w14:paraId="2E70A5B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A.设备全部到货</w:t>
      </w:r>
      <w:r>
        <w:rPr>
          <w:rFonts w:hint="eastAsia" w:ascii="宋体" w:hAnsi="宋体" w:eastAsia="宋体" w:cs="宋体"/>
          <w:sz w:val="21"/>
          <w:szCs w:val="21"/>
          <w:highlight w:val="none"/>
          <w:lang w:val="en-US" w:eastAsia="zh-CN"/>
        </w:rPr>
        <w:t>后</w:t>
      </w:r>
      <w:r>
        <w:rPr>
          <w:rFonts w:hint="eastAsia" w:ascii="宋体" w:hAnsi="宋体" w:eastAsia="宋体" w:cs="宋体"/>
          <w:sz w:val="21"/>
          <w:szCs w:val="21"/>
          <w:highlight w:val="none"/>
        </w:rPr>
        <w:t>，中标人提交金额为合同含税价款</w:t>
      </w:r>
      <w:r>
        <w:rPr>
          <w:rFonts w:hint="eastAsia" w:ascii="宋体" w:hAnsi="宋体" w:eastAsia="宋体" w:cs="宋体"/>
          <w:sz w:val="21"/>
          <w:szCs w:val="21"/>
          <w:highlight w:val="none"/>
          <w:lang w:val="en-US" w:eastAsia="zh-CN"/>
        </w:rPr>
        <w:t>30</w:t>
      </w:r>
      <w:r>
        <w:rPr>
          <w:rFonts w:hint="eastAsia" w:ascii="宋体" w:hAnsi="宋体" w:eastAsia="宋体" w:cs="宋体"/>
          <w:sz w:val="21"/>
          <w:szCs w:val="21"/>
          <w:highlight w:val="none"/>
        </w:rPr>
        <w:t>%的增值税专用发票（含复印件二份），经招标人依照财务制度审核通过后支付</w:t>
      </w:r>
      <w:r>
        <w:rPr>
          <w:rFonts w:hint="eastAsia" w:ascii="宋体" w:hAnsi="宋体" w:eastAsia="宋体" w:cs="宋体"/>
          <w:sz w:val="21"/>
          <w:szCs w:val="21"/>
          <w:highlight w:val="none"/>
          <w:lang w:eastAsia="zh-CN"/>
        </w:rPr>
        <w:t>；</w:t>
      </w:r>
    </w:p>
    <w:p w14:paraId="1C5D539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B.设备验收合格后，中标人提交金额为合同含税价款70%的增值税专用发票（含复印件二份），经招标人依照财务制度审核通过后支付</w:t>
      </w:r>
      <w:r>
        <w:rPr>
          <w:rFonts w:hint="eastAsia" w:ascii="宋体" w:hAnsi="宋体" w:eastAsia="宋体" w:cs="宋体"/>
          <w:sz w:val="21"/>
          <w:szCs w:val="21"/>
          <w:highlight w:val="none"/>
          <w:lang w:val="en-US" w:eastAsia="zh-CN"/>
        </w:rPr>
        <w:t>60%</w:t>
      </w:r>
      <w:r>
        <w:rPr>
          <w:rFonts w:hint="eastAsia" w:ascii="宋体" w:hAnsi="宋体" w:eastAsia="宋体" w:cs="宋体"/>
          <w:sz w:val="21"/>
          <w:szCs w:val="21"/>
          <w:highlight w:val="none"/>
        </w:rPr>
        <w:t>；</w:t>
      </w:r>
    </w:p>
    <w:p w14:paraId="130D177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C.</w:t>
      </w:r>
      <w:r>
        <w:rPr>
          <w:rFonts w:hint="eastAsia" w:ascii="宋体" w:hAnsi="宋体" w:eastAsia="宋体" w:cs="宋体"/>
          <w:sz w:val="21"/>
          <w:szCs w:val="21"/>
          <w:highlight w:val="none"/>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p w14:paraId="11A96CBD">
      <w:pPr>
        <w:pStyle w:val="158"/>
        <w:rPr>
          <w:rFonts w:hint="eastAsia"/>
          <w:lang w:val="en-US" w:eastAsia="zh-CN"/>
        </w:rPr>
      </w:pPr>
      <w:r>
        <w:rPr>
          <w:rFonts w:hint="eastAsia"/>
          <w:lang w:val="en-US" w:eastAsia="zh-CN"/>
        </w:rPr>
        <w:t>质保期</w:t>
      </w:r>
    </w:p>
    <w:p w14:paraId="4E01C3B5">
      <w:pPr>
        <w:pStyle w:val="158"/>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质保期：</w:t>
      </w:r>
      <w:r>
        <w:rPr>
          <w:rFonts w:hint="eastAsia" w:ascii="宋体" w:hAnsi="宋体" w:eastAsia="宋体" w:cs="宋体"/>
          <w:b w:val="0"/>
          <w:bCs w:val="0"/>
          <w:sz w:val="21"/>
          <w:szCs w:val="21"/>
          <w:lang w:val="en-US" w:eastAsia="zh-CN"/>
        </w:rPr>
        <w:t>自设备验收文件最终签署之日起壹年。（投标人可在满足上述最短质保期基础上竞报）</w:t>
      </w:r>
    </w:p>
    <w:p w14:paraId="6E0D7439">
      <w:pPr>
        <w:pStyle w:val="158"/>
        <w:rPr>
          <w:rFonts w:hint="eastAsia"/>
          <w:lang w:val="en-US" w:eastAsia="zh-CN"/>
        </w:rPr>
      </w:pPr>
      <w:r>
        <w:rPr>
          <w:rFonts w:hint="eastAsia"/>
          <w:lang w:val="en-US" w:eastAsia="zh-CN"/>
        </w:rPr>
        <w:t>本次招标最终解释权归中国重汽集团济南商用车有限公司。</w:t>
      </w:r>
    </w:p>
    <w:p w14:paraId="66BCACD8">
      <w:pPr>
        <w:pStyle w:val="160"/>
      </w:pPr>
    </w:p>
    <w:p w14:paraId="07A4B493">
      <w:pPr>
        <w:pStyle w:val="157"/>
        <w:jc w:val="both"/>
        <w:rPr>
          <w:rFonts w:hint="eastAsia"/>
        </w:rPr>
      </w:pPr>
    </w:p>
    <w:p w14:paraId="243FF35F">
      <w:pPr>
        <w:pStyle w:val="157"/>
        <w:jc w:val="both"/>
        <w:rPr>
          <w:rFonts w:hint="eastAsia"/>
        </w:rPr>
        <w:sectPr>
          <w:pgSz w:w="11906" w:h="16838"/>
          <w:pgMar w:top="1701" w:right="1418" w:bottom="1134" w:left="1418" w:header="851" w:footer="992" w:gutter="0"/>
          <w:pgNumType w:fmt="numberInDash"/>
          <w:cols w:space="720" w:num="1"/>
          <w:titlePg/>
          <w:docGrid w:type="lines" w:linePitch="312" w:charSpace="0"/>
        </w:sectPr>
      </w:pPr>
    </w:p>
    <w:p w14:paraId="61165A56">
      <w:pPr>
        <w:pStyle w:val="157"/>
        <w:rPr>
          <w:rFonts w:hint="eastAsia" w:cs="Times New Roman"/>
        </w:rPr>
      </w:pPr>
      <w:bookmarkStart w:id="28" w:name="_Toc12639"/>
      <w:r>
        <w:rPr>
          <w:rFonts w:hint="eastAsia"/>
        </w:rPr>
        <w:t>第</w:t>
      </w:r>
      <w:r>
        <w:rPr>
          <w:rFonts w:hint="eastAsia"/>
          <w:lang w:val="en-US" w:eastAsia="zh-CN"/>
        </w:rPr>
        <w:t>二</w:t>
      </w:r>
      <w:r>
        <w:rPr>
          <w:rFonts w:hint="eastAsia"/>
        </w:rPr>
        <w:t>部分 技术标书</w:t>
      </w:r>
      <w:bookmarkEnd w:id="2"/>
      <w:bookmarkEnd w:id="28"/>
    </w:p>
    <w:p w14:paraId="2F5B181C">
      <w:pPr>
        <w:pStyle w:val="17"/>
        <w:rPr>
          <w:highlight w:val="none"/>
        </w:rPr>
      </w:pPr>
    </w:p>
    <w:p w14:paraId="5A7AB996">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w:t>
      </w:r>
    </w:p>
    <w:p w14:paraId="2639FBB7">
      <w:pPr>
        <w:spacing w:line="276" w:lineRule="auto"/>
        <w:jc w:val="center"/>
        <w:rPr>
          <w:rFonts w:hint="eastAsia"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新能源轻卡怀挡车型改造项目-</w:t>
      </w:r>
    </w:p>
    <w:p w14:paraId="1E15CC6A">
      <w:pPr>
        <w:spacing w:line="276" w:lineRule="auto"/>
        <w:jc w:val="center"/>
        <w:rPr>
          <w:rFonts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焊装线改造项目</w:t>
      </w:r>
      <w:r>
        <w:rPr>
          <w:rFonts w:ascii="Calibri" w:hAnsi="Calibri" w:eastAsia="宋体" w:cs="Times New Roman"/>
          <w:b/>
          <w:bCs/>
          <w:color w:val="000000"/>
          <w:spacing w:val="-8"/>
          <w:sz w:val="48"/>
          <w:szCs w:val="44"/>
          <w:highlight w:val="none"/>
        </w:rPr>
        <w:t xml:space="preserve"> </w:t>
      </w:r>
    </w:p>
    <w:p w14:paraId="01C8E31B">
      <w:pPr>
        <w:jc w:val="right"/>
        <w:rPr>
          <w:rFonts w:ascii="Calibri" w:hAnsi="Calibri" w:eastAsia="宋体" w:cs="Times New Roman"/>
          <w:color w:val="000000"/>
          <w:sz w:val="28"/>
          <w:szCs w:val="28"/>
          <w:highlight w:val="none"/>
        </w:rPr>
      </w:pPr>
    </w:p>
    <w:p w14:paraId="0728AB20">
      <w:pPr>
        <w:pStyle w:val="17"/>
        <w:rPr>
          <w:highlight w:val="none"/>
        </w:rPr>
      </w:pPr>
    </w:p>
    <w:p w14:paraId="47BAC180">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05A93C6D">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6BFFA2CC">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71B28E6">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4EB8090B">
      <w:pPr>
        <w:pStyle w:val="17"/>
        <w:rPr>
          <w:highlight w:val="none"/>
        </w:rPr>
      </w:pPr>
    </w:p>
    <w:p w14:paraId="225A05C8">
      <w:pPr>
        <w:pStyle w:val="17"/>
        <w:rPr>
          <w:rFonts w:hint="eastAsia" w:ascii="黑体" w:hAnsi="宋体" w:eastAsia="黑体" w:cs="Times New Roman"/>
          <w:color w:val="000000"/>
          <w:sz w:val="72"/>
          <w:szCs w:val="72"/>
          <w:highlight w:val="none"/>
        </w:rPr>
      </w:pPr>
    </w:p>
    <w:p w14:paraId="32B9AA70">
      <w:pPr>
        <w:pStyle w:val="17"/>
        <w:rPr>
          <w:rFonts w:hint="eastAsia" w:ascii="黑体" w:hAnsi="宋体" w:eastAsia="黑体" w:cs="Times New Roman"/>
          <w:color w:val="000000"/>
          <w:sz w:val="72"/>
          <w:szCs w:val="72"/>
          <w:highlight w:val="none"/>
        </w:rPr>
      </w:pPr>
    </w:p>
    <w:p w14:paraId="778FFCCB">
      <w:pPr>
        <w:pStyle w:val="17"/>
        <w:rPr>
          <w:rFonts w:hint="eastAsia" w:ascii="黑体" w:hAnsi="宋体" w:eastAsia="黑体" w:cs="Times New Roman"/>
          <w:color w:val="000000"/>
          <w:sz w:val="72"/>
          <w:szCs w:val="72"/>
          <w:highlight w:val="none"/>
        </w:rPr>
      </w:pPr>
    </w:p>
    <w:p w14:paraId="23832CED">
      <w:pPr>
        <w:pStyle w:val="17"/>
        <w:rPr>
          <w:rFonts w:hint="eastAsia" w:ascii="黑体" w:hAnsi="宋体" w:eastAsia="黑体" w:cs="Times New Roman"/>
          <w:color w:val="000000"/>
          <w:sz w:val="72"/>
          <w:szCs w:val="72"/>
          <w:highlight w:val="none"/>
        </w:rPr>
      </w:pPr>
    </w:p>
    <w:p w14:paraId="3363BE09">
      <w:pPr>
        <w:spacing w:line="860" w:lineRule="exact"/>
        <w:rPr>
          <w:rFonts w:hint="eastAsia" w:ascii="华文仿宋" w:hAnsi="华文仿宋" w:eastAsia="华文仿宋"/>
          <w:b/>
          <w:bCs/>
          <w:sz w:val="32"/>
          <w:szCs w:val="28"/>
          <w:highlight w:val="none"/>
        </w:rPr>
      </w:pPr>
    </w:p>
    <w:p w14:paraId="1067D42E">
      <w:pPr>
        <w:pStyle w:val="17"/>
        <w:rPr>
          <w:b/>
          <w:bCs/>
          <w:highlight w:val="none"/>
        </w:rPr>
      </w:pPr>
    </w:p>
    <w:p w14:paraId="19E784D2">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w:t>
      </w:r>
    </w:p>
    <w:p w14:paraId="60F16920">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lang w:val="en-US" w:eastAsia="zh-CN"/>
        </w:rPr>
        <w:t>6</w:t>
      </w:r>
      <w:r>
        <w:rPr>
          <w:rFonts w:hint="eastAsia" w:ascii="Calibri" w:hAnsi="Calibri" w:eastAsia="宋体" w:cs="Times New Roman"/>
          <w:color w:val="000000"/>
          <w:sz w:val="28"/>
          <w:szCs w:val="28"/>
          <w:highlight w:val="none"/>
        </w:rPr>
        <w:t>年</w:t>
      </w:r>
      <w:r>
        <w:rPr>
          <w:rFonts w:hint="eastAsia" w:ascii="Calibri" w:hAnsi="Calibri" w:eastAsia="宋体" w:cs="Times New Roman"/>
          <w:color w:val="000000"/>
          <w:sz w:val="28"/>
          <w:szCs w:val="28"/>
          <w:highlight w:val="none"/>
          <w:lang w:val="en-US" w:eastAsia="zh-CN"/>
        </w:rPr>
        <w:t>2</w:t>
      </w:r>
      <w:r>
        <w:rPr>
          <w:rFonts w:hint="eastAsia" w:ascii="Calibri" w:hAnsi="Calibri" w:eastAsia="宋体" w:cs="Times New Roman"/>
          <w:color w:val="000000"/>
          <w:sz w:val="28"/>
          <w:szCs w:val="28"/>
          <w:highlight w:val="none"/>
        </w:rPr>
        <w:t>月</w:t>
      </w:r>
    </w:p>
    <w:bookmarkEnd w:id="0"/>
    <w:bookmarkEnd w:id="1"/>
    <w:p w14:paraId="20FEAB17">
      <w:pPr>
        <w:spacing w:line="360" w:lineRule="auto"/>
        <w:rPr>
          <w:rFonts w:hint="eastAsia" w:ascii="宋体" w:hAnsi="宋体" w:eastAsia="宋体" w:cs="Times New Roman"/>
          <w:b/>
          <w:sz w:val="36"/>
          <w:szCs w:val="36"/>
          <w:highlight w:val="none"/>
        </w:rPr>
        <w:sectPr>
          <w:headerReference r:id="rId10" w:type="default"/>
          <w:footerReference r:id="rId11"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41FBF26F">
      <w:pPr>
        <w:keepNext/>
        <w:keepLines/>
        <w:spacing w:before="120" w:after="120" w:line="360" w:lineRule="auto"/>
        <w:jc w:val="center"/>
        <w:outlineLvl w:val="0"/>
        <w:rPr>
          <w:rFonts w:hint="eastAsia" w:ascii="黑体" w:hAnsi="等线" w:eastAsia="黑体" w:cs="Times New Roman"/>
          <w:kern w:val="44"/>
          <w:sz w:val="28"/>
          <w:szCs w:val="28"/>
          <w:highlight w:val="none"/>
        </w:rPr>
      </w:pPr>
      <w:bookmarkStart w:id="29" w:name="_Toc8924"/>
      <w:bookmarkStart w:id="30" w:name="_Toc25529"/>
      <w:bookmarkStart w:id="31" w:name="_Toc9658377"/>
      <w:bookmarkStart w:id="32" w:name="_Toc169605881"/>
      <w:r>
        <w:rPr>
          <w:rFonts w:hint="eastAsia" w:ascii="黑体" w:hAnsi="等线" w:eastAsia="黑体" w:cs="Times New Roman"/>
          <w:kern w:val="44"/>
          <w:sz w:val="28"/>
          <w:szCs w:val="28"/>
          <w:highlight w:val="none"/>
        </w:rPr>
        <w:t>第一章</w:t>
      </w:r>
      <w:r>
        <w:rPr>
          <w:rFonts w:ascii="黑体" w:hAnsi="等线" w:eastAsia="黑体" w:cs="Times New Roman"/>
          <w:kern w:val="44"/>
          <w:sz w:val="28"/>
          <w:szCs w:val="28"/>
          <w:highlight w:val="none"/>
        </w:rPr>
        <w:t xml:space="preserve">  </w:t>
      </w:r>
      <w:r>
        <w:rPr>
          <w:rFonts w:hint="eastAsia" w:ascii="黑体" w:hAnsi="等线" w:eastAsia="黑体" w:cs="Times New Roman"/>
          <w:kern w:val="44"/>
          <w:sz w:val="28"/>
          <w:szCs w:val="28"/>
          <w:highlight w:val="none"/>
        </w:rPr>
        <w:t>采购货物概况</w:t>
      </w:r>
      <w:bookmarkEnd w:id="29"/>
      <w:bookmarkEnd w:id="30"/>
      <w:bookmarkEnd w:id="31"/>
    </w:p>
    <w:p w14:paraId="397DE549">
      <w:pPr>
        <w:keepNext/>
        <w:keepLines/>
        <w:spacing w:before="120" w:after="120" w:line="360" w:lineRule="auto"/>
        <w:jc w:val="center"/>
        <w:outlineLvl w:val="1"/>
        <w:rPr>
          <w:rFonts w:ascii="Arial" w:hAnsi="Arial" w:eastAsia="宋体" w:cs="Times New Roman"/>
          <w:sz w:val="24"/>
          <w:szCs w:val="24"/>
          <w:highlight w:val="none"/>
        </w:rPr>
      </w:pPr>
      <w:bookmarkStart w:id="33" w:name="_Toc9658378"/>
      <w:r>
        <w:rPr>
          <w:rFonts w:hint="eastAsia" w:ascii="Arial" w:hAnsi="Arial" w:eastAsia="宋体" w:cs="Times New Roman"/>
          <w:sz w:val="24"/>
          <w:szCs w:val="24"/>
          <w:highlight w:val="none"/>
        </w:rPr>
        <w:t>第一节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使用环境</w:t>
      </w:r>
      <w:bookmarkEnd w:id="33"/>
    </w:p>
    <w:p w14:paraId="11F94264">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一、项目名称：</w:t>
      </w:r>
      <w:r>
        <w:rPr>
          <w:rFonts w:hint="eastAsia" w:ascii="宋体" w:hAnsi="宋体" w:eastAsia="宋体" w:cs="宋体"/>
          <w:sz w:val="24"/>
          <w:szCs w:val="24"/>
          <w:highlight w:val="none"/>
          <w:u w:val="single"/>
          <w:shd w:val="pct10" w:color="auto" w:fill="FFFFFF"/>
          <w:lang w:val="en-US" w:eastAsia="zh-CN"/>
        </w:rPr>
        <w:t>新能源轻卡怀挡车型改造</w:t>
      </w:r>
      <w:r>
        <w:rPr>
          <w:rFonts w:hint="eastAsia" w:ascii="宋体" w:hAnsi="宋体" w:eastAsia="宋体" w:cs="宋体"/>
          <w:sz w:val="24"/>
          <w:szCs w:val="24"/>
          <w:highlight w:val="none"/>
          <w:u w:val="single"/>
          <w:shd w:val="pct10" w:color="auto" w:fill="FFFFFF"/>
        </w:rPr>
        <w:t>项目</w:t>
      </w:r>
    </w:p>
    <w:p w14:paraId="2D464781">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二、建设地点：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14:paraId="563B9E69">
      <w:pPr>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三、使用地点：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14:paraId="17FCE20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四、工作制度：采用双班工作制，年工作日251天。</w:t>
      </w:r>
    </w:p>
    <w:p w14:paraId="02E7BC8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五、使用地点区域自然环境：</w:t>
      </w:r>
    </w:p>
    <w:p w14:paraId="651662DF">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海拔高度：1000m以下</w:t>
      </w:r>
    </w:p>
    <w:p w14:paraId="3533DF44">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室外温度：-20℃～40℃</w:t>
      </w:r>
    </w:p>
    <w:p w14:paraId="7A5A9B5E">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室内温度：-5℃～45℃</w:t>
      </w:r>
      <w:r>
        <w:rPr>
          <w:rFonts w:hint="eastAsia" w:ascii="宋体" w:hAnsi="宋体" w:eastAsia="宋体" w:cs="宋体"/>
          <w:sz w:val="24"/>
          <w:szCs w:val="24"/>
          <w:highlight w:val="none"/>
        </w:rPr>
        <w:tab/>
      </w:r>
    </w:p>
    <w:p w14:paraId="177B4370">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环境湿度：在20℃时最大湿度为90%</w:t>
      </w:r>
    </w:p>
    <w:p w14:paraId="7E499F70">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压缩空气压力：0.4～0.6Mpa</w:t>
      </w:r>
    </w:p>
    <w:p w14:paraId="30DD33E5">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电源电压：380V±15%，50 Hz±2%</w:t>
      </w:r>
    </w:p>
    <w:p w14:paraId="7FDDDA55">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本项目的工作制度、产能、节拍及效率如下，投标方提供的设施、设备必须满足此要求。</w:t>
      </w:r>
    </w:p>
    <w:tbl>
      <w:tblPr>
        <w:tblStyle w:val="38"/>
        <w:tblW w:w="3974" w:type="pct"/>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588"/>
        <w:gridCol w:w="2428"/>
        <w:gridCol w:w="762"/>
        <w:gridCol w:w="1188"/>
        <w:gridCol w:w="1580"/>
        <w:gridCol w:w="835"/>
      </w:tblGrid>
      <w:tr w14:paraId="3421947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85" w:hRule="atLeast"/>
          <w:jc w:val="center"/>
        </w:trPr>
        <w:tc>
          <w:tcPr>
            <w:tcW w:w="398" w:type="pct"/>
            <w:tcBorders>
              <w:tl2br w:val="nil"/>
              <w:tr2bl w:val="nil"/>
            </w:tcBorders>
            <w:vAlign w:val="center"/>
          </w:tcPr>
          <w:p w14:paraId="530E6962">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No.</w:t>
            </w:r>
          </w:p>
        </w:tc>
        <w:tc>
          <w:tcPr>
            <w:tcW w:w="1644" w:type="pct"/>
            <w:tcBorders>
              <w:tl2br w:val="nil"/>
              <w:tr2bl w:val="nil"/>
            </w:tcBorders>
            <w:vAlign w:val="center"/>
          </w:tcPr>
          <w:p w14:paraId="30156F17">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主体工程</w:t>
            </w:r>
          </w:p>
        </w:tc>
        <w:tc>
          <w:tcPr>
            <w:tcW w:w="516" w:type="pct"/>
            <w:tcBorders>
              <w:tl2br w:val="nil"/>
              <w:tr2bl w:val="nil"/>
            </w:tcBorders>
            <w:vAlign w:val="center"/>
          </w:tcPr>
          <w:p w14:paraId="6703E052">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班次</w:t>
            </w:r>
          </w:p>
        </w:tc>
        <w:tc>
          <w:tcPr>
            <w:tcW w:w="804" w:type="pct"/>
            <w:tcBorders>
              <w:tl2br w:val="nil"/>
              <w:tr2bl w:val="nil"/>
            </w:tcBorders>
            <w:vAlign w:val="center"/>
          </w:tcPr>
          <w:p w14:paraId="2FCA164A">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工艺节拍</w:t>
            </w:r>
          </w:p>
        </w:tc>
        <w:tc>
          <w:tcPr>
            <w:tcW w:w="1070" w:type="pct"/>
            <w:tcBorders>
              <w:tl2br w:val="nil"/>
              <w:tr2bl w:val="nil"/>
            </w:tcBorders>
            <w:vAlign w:val="center"/>
          </w:tcPr>
          <w:p w14:paraId="756313BD">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w:t>
            </w:r>
          </w:p>
        </w:tc>
        <w:tc>
          <w:tcPr>
            <w:tcW w:w="565" w:type="pct"/>
            <w:tcBorders>
              <w:tl2br w:val="nil"/>
              <w:tr2bl w:val="nil"/>
            </w:tcBorders>
            <w:vAlign w:val="center"/>
          </w:tcPr>
          <w:p w14:paraId="21B0EFEB">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33223416">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398" w:type="pct"/>
            <w:tcBorders>
              <w:tl2br w:val="nil"/>
              <w:tr2bl w:val="nil"/>
            </w:tcBorders>
            <w:vAlign w:val="center"/>
          </w:tcPr>
          <w:p w14:paraId="21D45D8C">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644" w:type="pct"/>
            <w:tcBorders>
              <w:tl2br w:val="nil"/>
              <w:tr2bl w:val="nil"/>
            </w:tcBorders>
            <w:vAlign w:val="center"/>
          </w:tcPr>
          <w:p w14:paraId="1F8D3247">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焊装线适应性</w:t>
            </w:r>
            <w:r>
              <w:rPr>
                <w:rFonts w:hint="eastAsia" w:ascii="宋体" w:hAnsi="宋体" w:eastAsia="宋体" w:cs="宋体"/>
                <w:sz w:val="24"/>
                <w:szCs w:val="24"/>
                <w:highlight w:val="none"/>
              </w:rPr>
              <w:t>改造</w:t>
            </w:r>
          </w:p>
        </w:tc>
        <w:tc>
          <w:tcPr>
            <w:tcW w:w="516" w:type="pct"/>
            <w:tcBorders>
              <w:tl2br w:val="nil"/>
              <w:tr2bl w:val="nil"/>
            </w:tcBorders>
            <w:vAlign w:val="center"/>
          </w:tcPr>
          <w:p w14:paraId="21146BB9">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804" w:type="pct"/>
            <w:tcBorders>
              <w:tl2br w:val="nil"/>
              <w:tr2bl w:val="nil"/>
            </w:tcBorders>
            <w:vAlign w:val="center"/>
          </w:tcPr>
          <w:p w14:paraId="35676B1C">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z w:val="24"/>
                <w:szCs w:val="24"/>
                <w:highlight w:val="none"/>
                <w14:textFill>
                  <w14:solidFill>
                    <w14:schemeClr w14:val="tx1"/>
                  </w14:solidFill>
                </w14:textFill>
              </w:rPr>
              <w:t>2.2</w:t>
            </w:r>
            <w:r>
              <w:rPr>
                <w:rFonts w:hint="eastAsia" w:ascii="宋体" w:hAnsi="宋体" w:eastAsia="宋体" w:cs="宋体"/>
                <w:color w:val="000000" w:themeColor="text1"/>
                <w:sz w:val="24"/>
                <w:szCs w:val="24"/>
                <w:highlight w:val="none"/>
                <w14:textFill>
                  <w14:solidFill>
                    <w14:schemeClr w14:val="tx1"/>
                  </w14:solidFill>
                </w14:textFill>
              </w:rPr>
              <w:t>min</w:t>
            </w:r>
          </w:p>
        </w:tc>
        <w:tc>
          <w:tcPr>
            <w:tcW w:w="1070" w:type="pct"/>
            <w:tcBorders>
              <w:tl2br w:val="nil"/>
              <w:tr2bl w:val="nil"/>
            </w:tcBorders>
            <w:vAlign w:val="center"/>
          </w:tcPr>
          <w:p w14:paraId="450A432E">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85%</w:t>
            </w:r>
          </w:p>
        </w:tc>
        <w:tc>
          <w:tcPr>
            <w:tcW w:w="565" w:type="pct"/>
            <w:tcBorders>
              <w:tl2br w:val="nil"/>
              <w:tr2bl w:val="nil"/>
            </w:tcBorders>
            <w:vAlign w:val="center"/>
          </w:tcPr>
          <w:p w14:paraId="7F3648D2">
            <w:pPr>
              <w:spacing w:line="360" w:lineRule="auto"/>
              <w:jc w:val="center"/>
              <w:rPr>
                <w:rFonts w:hint="eastAsia" w:ascii="宋体" w:hAnsi="宋体" w:eastAsia="宋体" w:cs="宋体"/>
                <w:sz w:val="24"/>
                <w:szCs w:val="24"/>
                <w:highlight w:val="none"/>
              </w:rPr>
            </w:pPr>
          </w:p>
        </w:tc>
      </w:tr>
      <w:tr w14:paraId="39C97D94">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398" w:type="pct"/>
            <w:tcBorders>
              <w:tl2br w:val="nil"/>
              <w:tr2bl w:val="nil"/>
            </w:tcBorders>
            <w:vAlign w:val="center"/>
          </w:tcPr>
          <w:p w14:paraId="64EF1C75">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644" w:type="pct"/>
            <w:tcBorders>
              <w:tl2br w:val="nil"/>
              <w:tr2bl w:val="nil"/>
            </w:tcBorders>
            <w:vAlign w:val="center"/>
          </w:tcPr>
          <w:p w14:paraId="3814431C">
            <w:pPr>
              <w:spacing w:line="36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手动工装新增及改造</w:t>
            </w:r>
          </w:p>
        </w:tc>
        <w:tc>
          <w:tcPr>
            <w:tcW w:w="516" w:type="pct"/>
            <w:tcBorders>
              <w:tl2br w:val="nil"/>
              <w:tr2bl w:val="nil"/>
            </w:tcBorders>
            <w:vAlign w:val="center"/>
          </w:tcPr>
          <w:p w14:paraId="62848E39">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804" w:type="pct"/>
            <w:tcBorders>
              <w:tl2br w:val="nil"/>
              <w:tr2bl w:val="nil"/>
            </w:tcBorders>
            <w:vAlign w:val="center"/>
          </w:tcPr>
          <w:p w14:paraId="2A1187AB">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tc>
        <w:tc>
          <w:tcPr>
            <w:tcW w:w="1070" w:type="pct"/>
            <w:tcBorders>
              <w:tl2br w:val="nil"/>
              <w:tr2bl w:val="nil"/>
            </w:tcBorders>
            <w:vAlign w:val="center"/>
          </w:tcPr>
          <w:p w14:paraId="0B0FE718">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565" w:type="pct"/>
            <w:tcBorders>
              <w:tl2br w:val="nil"/>
              <w:tr2bl w:val="nil"/>
            </w:tcBorders>
            <w:vAlign w:val="center"/>
          </w:tcPr>
          <w:p w14:paraId="432CF655">
            <w:pPr>
              <w:spacing w:line="360" w:lineRule="auto"/>
              <w:jc w:val="center"/>
              <w:rPr>
                <w:rFonts w:hint="eastAsia" w:ascii="宋体" w:hAnsi="宋体" w:eastAsia="宋体" w:cs="宋体"/>
                <w:sz w:val="24"/>
                <w:szCs w:val="24"/>
                <w:highlight w:val="none"/>
              </w:rPr>
            </w:pPr>
          </w:p>
        </w:tc>
      </w:tr>
    </w:tbl>
    <w:p w14:paraId="41296709">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p w14:paraId="72F796D1">
      <w:pPr>
        <w:pStyle w:val="133"/>
        <w:widowControl/>
        <w:numPr>
          <w:ilvl w:val="0"/>
          <w:numId w:val="28"/>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设备开动率指设备计划生产时间内：设备实际开动时间/（设备实际开动时间+设备停机时间）</w:t>
      </w:r>
      <w:r>
        <w:rPr>
          <w:rFonts w:hint="eastAsia" w:ascii="宋体" w:hAnsi="宋体" w:eastAsia="宋体" w:cs="宋体"/>
          <w:sz w:val="24"/>
          <w:szCs w:val="24"/>
          <w:highlight w:val="none"/>
          <w:lang w:eastAsia="zh-CN"/>
        </w:rPr>
        <w:t>。</w:t>
      </w:r>
    </w:p>
    <w:p w14:paraId="605921EA">
      <w:pPr>
        <w:pStyle w:val="133"/>
        <w:widowControl/>
        <w:numPr>
          <w:ilvl w:val="0"/>
          <w:numId w:val="28"/>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需要投标方对生产线各工位进行节拍平衡调试。</w:t>
      </w:r>
    </w:p>
    <w:p w14:paraId="6920D9B7">
      <w:pPr>
        <w:pStyle w:val="133"/>
        <w:widowControl/>
        <w:numPr>
          <w:ilvl w:val="0"/>
          <w:numId w:val="28"/>
        </w:numPr>
        <w:spacing w:line="360" w:lineRule="auto"/>
        <w:ind w:left="420" w:leftChars="0" w:hanging="420" w:firstLineChars="0"/>
        <w:contextualSpacing/>
        <w:jc w:val="left"/>
        <w:rPr>
          <w:rFonts w:hint="eastAsia" w:ascii="Arial" w:hAnsi="Arial" w:eastAsia="宋体" w:cs="Times New Roman"/>
          <w:sz w:val="24"/>
          <w:szCs w:val="24"/>
          <w:highlight w:val="none"/>
        </w:rPr>
      </w:pPr>
      <w:r>
        <w:rPr>
          <w:rFonts w:hint="eastAsia" w:ascii="宋体" w:hAnsi="宋体" w:eastAsia="宋体" w:cs="宋体"/>
          <w:sz w:val="24"/>
          <w:szCs w:val="24"/>
          <w:highlight w:val="none"/>
        </w:rPr>
        <w:t>节拍要求仅针对</w:t>
      </w:r>
      <w:r>
        <w:rPr>
          <w:rFonts w:hint="eastAsia" w:ascii="宋体" w:hAnsi="宋体" w:eastAsia="宋体" w:cs="宋体"/>
          <w:sz w:val="24"/>
          <w:szCs w:val="24"/>
          <w:highlight w:val="none"/>
          <w:lang w:val="en-US" w:eastAsia="zh-CN"/>
        </w:rPr>
        <w:t>新能源轻卡怀挡车型改造</w:t>
      </w:r>
      <w:r>
        <w:rPr>
          <w:rFonts w:hint="eastAsia" w:ascii="宋体" w:hAnsi="宋体" w:eastAsia="宋体" w:cs="宋体"/>
          <w:sz w:val="24"/>
          <w:szCs w:val="24"/>
          <w:highlight w:val="none"/>
        </w:rPr>
        <w:t>项目涉及车型，线体内原有车型保持改造前的节拍不变。</w:t>
      </w:r>
      <w:bookmarkStart w:id="34" w:name="_Toc9658379"/>
    </w:p>
    <w:p w14:paraId="212DADBC">
      <w:pPr>
        <w:rPr>
          <w:rFonts w:hint="eastAsia" w:ascii="Arial" w:hAnsi="Arial" w:eastAsia="宋体" w:cs="Times New Roman"/>
          <w:sz w:val="24"/>
          <w:szCs w:val="24"/>
          <w:highlight w:val="none"/>
        </w:rPr>
      </w:pPr>
    </w:p>
    <w:p w14:paraId="6EF23487">
      <w:pPr>
        <w:rPr>
          <w:rFonts w:hint="eastAsia" w:ascii="Arial" w:hAnsi="Arial" w:eastAsia="宋体" w:cs="Times New Roman"/>
          <w:sz w:val="24"/>
          <w:szCs w:val="24"/>
          <w:highlight w:val="none"/>
        </w:rPr>
      </w:pPr>
    </w:p>
    <w:p w14:paraId="375FCA81">
      <w:pPr>
        <w:rPr>
          <w:rFonts w:hint="eastAsia" w:ascii="Arial" w:hAnsi="Arial" w:eastAsia="宋体" w:cs="Times New Roman"/>
          <w:sz w:val="24"/>
          <w:szCs w:val="24"/>
          <w:highlight w:val="none"/>
        </w:rPr>
      </w:pPr>
    </w:p>
    <w:p w14:paraId="693AE266">
      <w:pPr>
        <w:keepNext/>
        <w:keepLines/>
        <w:spacing w:before="120" w:after="120" w:line="360" w:lineRule="auto"/>
        <w:jc w:val="center"/>
        <w:outlineLvl w:val="1"/>
        <w:rPr>
          <w:rFonts w:hint="eastAsia" w:ascii="Arial" w:hAnsi="Arial" w:eastAsia="宋体" w:cs="Times New Roman"/>
          <w:sz w:val="24"/>
          <w:szCs w:val="24"/>
          <w:highlight w:val="none"/>
        </w:rPr>
      </w:pPr>
      <w:r>
        <w:rPr>
          <w:rFonts w:hint="eastAsia" w:ascii="Arial" w:hAnsi="Arial" w:eastAsia="宋体" w:cs="Times New Roman"/>
          <w:sz w:val="24"/>
          <w:szCs w:val="24"/>
          <w:highlight w:val="none"/>
        </w:rPr>
        <w:t>第二节  采购货物概况</w:t>
      </w:r>
      <w:bookmarkEnd w:id="34"/>
    </w:p>
    <w:p w14:paraId="0F02A22C">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一、货物名称：</w:t>
      </w:r>
      <w:r>
        <w:rPr>
          <w:rFonts w:hint="eastAsia" w:ascii="宋体" w:hAnsi="宋体" w:eastAsia="宋体" w:cs="宋体"/>
          <w:sz w:val="24"/>
          <w:szCs w:val="24"/>
          <w:highlight w:val="none"/>
          <w:u w:val="single"/>
          <w:shd w:val="pct10" w:color="auto" w:fill="FFFFFF"/>
          <w:lang w:val="en-US" w:eastAsia="zh-CN"/>
        </w:rPr>
        <w:t>新能源轻卡怀挡车型改造</w:t>
      </w:r>
      <w:r>
        <w:rPr>
          <w:rFonts w:hint="eastAsia" w:ascii="宋体" w:hAnsi="宋体" w:eastAsia="宋体" w:cs="宋体"/>
          <w:sz w:val="24"/>
          <w:szCs w:val="24"/>
          <w:highlight w:val="none"/>
          <w:u w:val="single"/>
          <w:shd w:val="pct10" w:color="auto" w:fill="FFFFFF"/>
        </w:rPr>
        <w:t>项目</w:t>
      </w:r>
    </w:p>
    <w:p w14:paraId="4B867928">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rPr>
        <w:t>一宗</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（详见下表）</w:t>
      </w:r>
    </w:p>
    <w:p w14:paraId="602A6188">
      <w:pPr>
        <w:spacing w:line="360" w:lineRule="auto"/>
        <w:ind w:firstLine="482" w:firstLineChars="200"/>
        <w:rPr>
          <w:rFonts w:hint="eastAsia" w:ascii="宋体" w:hAnsi="宋体" w:eastAsia="宋体" w:cs="宋体"/>
          <w:sz w:val="24"/>
          <w:szCs w:val="24"/>
          <w:highlight w:val="none"/>
          <w:u w:val="single"/>
          <w:shd w:val="pct10" w:color="auto" w:fill="FFFFFF"/>
        </w:rPr>
      </w:pPr>
      <w:r>
        <w:rPr>
          <w:rFonts w:hint="eastAsia" w:ascii="宋体" w:hAnsi="宋体" w:eastAsia="宋体" w:cs="宋体"/>
          <w:b/>
          <w:sz w:val="24"/>
          <w:szCs w:val="24"/>
          <w:highlight w:val="none"/>
        </w:rPr>
        <w:t>三、分投分中：</w:t>
      </w:r>
      <w:r>
        <w:rPr>
          <w:rFonts w:hint="eastAsia" w:ascii="宋体" w:hAnsi="宋体" w:eastAsia="宋体" w:cs="宋体"/>
          <w:sz w:val="24"/>
          <w:szCs w:val="24"/>
          <w:highlight w:val="none"/>
          <w:u w:val="single"/>
          <w:shd w:val="pct10" w:color="auto" w:fill="FFFFFF"/>
        </w:rPr>
        <w:t>不允许</w:t>
      </w:r>
    </w:p>
    <w:p w14:paraId="50461C30">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采购货物主要构成一览表</w:t>
      </w:r>
    </w:p>
    <w:p w14:paraId="53FFA55B">
      <w:pPr>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通过手工焊夹具改造、新增及焊装线适应性改造，</w:t>
      </w:r>
      <w:r>
        <w:rPr>
          <w:rFonts w:hint="eastAsia" w:ascii="宋体" w:hAnsi="宋体" w:eastAsia="宋体" w:cs="宋体"/>
          <w:sz w:val="24"/>
          <w:szCs w:val="24"/>
          <w:highlight w:val="none"/>
        </w:rPr>
        <w:t>实现</w:t>
      </w:r>
      <w:r>
        <w:rPr>
          <w:rFonts w:hint="eastAsia" w:ascii="宋体" w:hAnsi="宋体" w:eastAsia="宋体" w:cs="宋体"/>
          <w:sz w:val="24"/>
          <w:szCs w:val="24"/>
          <w:highlight w:val="none"/>
          <w:lang w:val="en-US" w:eastAsia="zh-CN"/>
        </w:rPr>
        <w:t>新能源轻卡怀挡车型25款悍将宽体单排/排半及统帅PRO宽体单排/排半共4款驾驶室的生产。</w:t>
      </w:r>
    </w:p>
    <w:p w14:paraId="15B7C31D">
      <w:pPr>
        <w:spacing w:line="360" w:lineRule="auto"/>
        <w:ind w:left="480"/>
        <w:rPr>
          <w:rFonts w:hint="eastAsia" w:ascii="宋体" w:hAnsi="宋体" w:eastAsia="宋体" w:cs="宋体"/>
          <w:sz w:val="24"/>
          <w:szCs w:val="24"/>
          <w:highlight w:val="none"/>
        </w:rPr>
      </w:pPr>
      <w:r>
        <w:rPr>
          <w:rFonts w:hint="eastAsia" w:ascii="宋体" w:hAnsi="宋体" w:eastAsia="宋体" w:cs="宋体"/>
          <w:sz w:val="24"/>
          <w:szCs w:val="24"/>
          <w:highlight w:val="none"/>
        </w:rPr>
        <w:t>主要供货明细详见下表：</w:t>
      </w:r>
    </w:p>
    <w:tbl>
      <w:tblPr>
        <w:tblStyle w:val="3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94"/>
        <w:gridCol w:w="838"/>
        <w:gridCol w:w="1562"/>
        <w:gridCol w:w="1545"/>
      </w:tblGrid>
      <w:tr w14:paraId="12F59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207397B4">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4794" w:type="dxa"/>
            <w:vAlign w:val="center"/>
          </w:tcPr>
          <w:p w14:paraId="31A6C1E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838" w:type="dxa"/>
            <w:vAlign w:val="center"/>
          </w:tcPr>
          <w:p w14:paraId="220A05E8">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562" w:type="dxa"/>
            <w:vAlign w:val="center"/>
          </w:tcPr>
          <w:p w14:paraId="1F9FACC0">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1545" w:type="dxa"/>
            <w:vAlign w:val="center"/>
          </w:tcPr>
          <w:p w14:paraId="6ADB43E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5EBB5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1D25E15">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794" w:type="dxa"/>
            <w:vAlign w:val="center"/>
          </w:tcPr>
          <w:p w14:paraId="49C5378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统帅PRO地板前部后横梁总成手动工装</w:t>
            </w:r>
          </w:p>
        </w:tc>
        <w:tc>
          <w:tcPr>
            <w:tcW w:w="838" w:type="dxa"/>
            <w:vAlign w:val="center"/>
          </w:tcPr>
          <w:p w14:paraId="321D81CB">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62" w:type="dxa"/>
            <w:vAlign w:val="center"/>
          </w:tcPr>
          <w:p w14:paraId="69B16A1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2AC3BBA8">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w:t>
            </w:r>
          </w:p>
        </w:tc>
      </w:tr>
      <w:tr w14:paraId="6065E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46E15AD">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794" w:type="dxa"/>
            <w:vAlign w:val="center"/>
          </w:tcPr>
          <w:p w14:paraId="3F4628DA">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悍将地板后横梁总成夹具</w:t>
            </w:r>
          </w:p>
        </w:tc>
        <w:tc>
          <w:tcPr>
            <w:tcW w:w="838" w:type="dxa"/>
            <w:vAlign w:val="center"/>
          </w:tcPr>
          <w:p w14:paraId="4ED03FC4">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562" w:type="dxa"/>
            <w:vAlign w:val="center"/>
          </w:tcPr>
          <w:p w14:paraId="53017FAA">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56348DB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r w14:paraId="246DD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5EB5E8E0">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794" w:type="dxa"/>
            <w:vAlign w:val="center"/>
          </w:tcPr>
          <w:p w14:paraId="52C30851">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地板骨架工位适应性改造及防错识别</w:t>
            </w:r>
          </w:p>
        </w:tc>
        <w:tc>
          <w:tcPr>
            <w:tcW w:w="838" w:type="dxa"/>
            <w:vAlign w:val="center"/>
          </w:tcPr>
          <w:p w14:paraId="03F54A20">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562" w:type="dxa"/>
            <w:vAlign w:val="center"/>
          </w:tcPr>
          <w:p w14:paraId="470B784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49855179">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r w14:paraId="151B7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29AB001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4794" w:type="dxa"/>
            <w:vAlign w:val="center"/>
          </w:tcPr>
          <w:p w14:paraId="29C47DEC">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中地板/前地板工位适应性改造及防错识别</w:t>
            </w:r>
          </w:p>
        </w:tc>
        <w:tc>
          <w:tcPr>
            <w:tcW w:w="838" w:type="dxa"/>
            <w:vAlign w:val="center"/>
          </w:tcPr>
          <w:p w14:paraId="15E3AFA0">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1宗</w:t>
            </w:r>
          </w:p>
        </w:tc>
        <w:tc>
          <w:tcPr>
            <w:tcW w:w="1562" w:type="dxa"/>
            <w:vAlign w:val="center"/>
          </w:tcPr>
          <w:p w14:paraId="4E2A94E9">
            <w:pPr>
              <w:spacing w:line="24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交钥匙方式</w:t>
            </w:r>
          </w:p>
        </w:tc>
        <w:tc>
          <w:tcPr>
            <w:tcW w:w="1545" w:type="dxa"/>
            <w:vAlign w:val="center"/>
          </w:tcPr>
          <w:p w14:paraId="7164F1C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bl>
    <w:p w14:paraId="133041B2">
      <w:pPr>
        <w:pStyle w:val="17"/>
        <w:rPr>
          <w:highlight w:val="none"/>
        </w:rPr>
      </w:pPr>
    </w:p>
    <w:p w14:paraId="70F9286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备注：本表所列采购货物仅为货物的主要构成部分，应配套供货以及招标方所列其它货物（或设备）和服务，请投标方认真阅读“供货范围”。若有异议，不管是多么微小，都应在投标文件“商务偏离”章节中予以详细说明。</w:t>
      </w:r>
    </w:p>
    <w:p w14:paraId="7F8A7AE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本表“供货方式”：交钥匙方式——卖方负责设备的设计、制造、运输、卸载、安装、调试、试运行、验收以及培训等直至达到买方的各项要求并交付使用。</w:t>
      </w:r>
    </w:p>
    <w:p w14:paraId="3026080A">
      <w:pPr>
        <w:pStyle w:val="17"/>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14:paraId="2C89E022">
      <w:pPr>
        <w:pStyle w:val="17"/>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21</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14:paraId="23E6297C">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26</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14:paraId="381B3729">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14:paraId="655C8880">
      <w:pPr>
        <w:spacing w:line="360" w:lineRule="auto"/>
        <w:ind w:firstLine="480" w:firstLineChars="200"/>
        <w:rPr>
          <w:rFonts w:hint="eastAsia" w:ascii="宋体" w:hAnsi="宋体" w:eastAsia="宋体" w:cs="宋体"/>
          <w:sz w:val="24"/>
          <w:szCs w:val="24"/>
          <w:highlight w:val="none"/>
        </w:rPr>
      </w:pPr>
      <w:r>
        <w:rPr>
          <w:rFonts w:hint="eastAsia" w:hAnsi="宋体" w:eastAsia="宋体" w:cs="宋体"/>
          <w:sz w:val="24"/>
          <w:szCs w:val="24"/>
          <w:highlight w:val="none"/>
        </w:rPr>
        <w:t>安装调试时间或终验收时间超过规定时间的，投标方应随标书提供详细的工期计划。</w:t>
      </w:r>
    </w:p>
    <w:p w14:paraId="199047DA">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lang w:bidi="ar"/>
        </w:rPr>
        <w:t>四、采购货物特别说明</w:t>
      </w:r>
    </w:p>
    <w:p w14:paraId="7D5E8B1E">
      <w:pPr>
        <w:spacing w:line="360" w:lineRule="auto"/>
        <w:ind w:firstLine="480" w:firstLineChars="200"/>
        <w:rPr>
          <w:rFonts w:hint="eastAsia" w:ascii="宋体" w:hAnsi="宋体" w:eastAsia="宋体" w:cs="宋体"/>
          <w:sz w:val="24"/>
          <w:szCs w:val="24"/>
          <w:highlight w:val="none"/>
        </w:rPr>
      </w:pPr>
      <w:bookmarkStart w:id="35" w:name="_Toc9658380"/>
      <w:r>
        <w:rPr>
          <w:rFonts w:hint="eastAsia" w:ascii="宋体" w:hAnsi="宋体" w:eastAsia="宋体" w:cs="宋体"/>
          <w:sz w:val="24"/>
          <w:szCs w:val="24"/>
          <w:highlight w:val="none"/>
        </w:rPr>
        <w:t>1.工程界面</w:t>
      </w:r>
    </w:p>
    <w:p w14:paraId="43045D4E">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招标方负责将厂房一次侧的焊接母线、动力母线、进水、回水、压缩空气接入到各生产区域需求点，投标方负责从需求点接入设备。区域分配如下图所示：</w:t>
      </w:r>
    </w:p>
    <w:p w14:paraId="779EF872">
      <w:pPr>
        <w:keepNext w:val="0"/>
        <w:keepLines w:val="0"/>
        <w:pageBreakBefore w:val="0"/>
        <w:widowControl w:val="0"/>
        <w:kinsoku/>
        <w:wordWrap/>
        <w:overflowPunct/>
        <w:topLinePunct w:val="0"/>
        <w:autoSpaceDE/>
        <w:autoSpaceDN/>
        <w:bidi w:val="0"/>
        <w:adjustRightInd/>
        <w:snapToGrid/>
        <w:spacing w:line="360" w:lineRule="auto"/>
        <w:ind w:left="482"/>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rPr>
        <w:drawing>
          <wp:inline distT="0" distB="0" distL="114300" distR="114300">
            <wp:extent cx="5292090" cy="3060065"/>
            <wp:effectExtent l="0" t="0" r="3810" b="635"/>
            <wp:docPr id="40" name="图片 1" descr="Inked图片1_LI"/>
            <wp:cNvGraphicFramePr/>
            <a:graphic xmlns:a="http://schemas.openxmlformats.org/drawingml/2006/main">
              <a:graphicData uri="http://schemas.openxmlformats.org/drawingml/2006/picture">
                <pic:pic xmlns:pic="http://schemas.openxmlformats.org/drawingml/2006/picture">
                  <pic:nvPicPr>
                    <pic:cNvPr id="40" name="图片 1" descr="Inked图片1_LI"/>
                    <pic:cNvPicPr/>
                  </pic:nvPicPr>
                  <pic:blipFill>
                    <a:blip r:embed="rId23" cstate="print"/>
                    <a:stretch>
                      <a:fillRect/>
                    </a:stretch>
                  </pic:blipFill>
                  <pic:spPr>
                    <a:xfrm>
                      <a:off x="0" y="0"/>
                      <a:ext cx="5292090" cy="3060065"/>
                    </a:xfrm>
                    <a:prstGeom prst="rect">
                      <a:avLst/>
                    </a:prstGeom>
                    <a:noFill/>
                    <a:ln>
                      <a:noFill/>
                    </a:ln>
                  </pic:spPr>
                </pic:pic>
              </a:graphicData>
            </a:graphic>
          </wp:inline>
        </w:drawing>
      </w:r>
      <w:r>
        <w:rPr>
          <w:rFonts w:hint="eastAsia" w:ascii="宋体" w:hAnsi="宋体" w:eastAsia="宋体" w:cs="宋体"/>
          <w:sz w:val="24"/>
          <w:szCs w:val="24"/>
          <w:highlight w:val="none"/>
        </w:rPr>
        <mc:AlternateContent>
          <mc:Choice Requires="wps">
            <w:drawing>
              <wp:anchor distT="0" distB="0" distL="114300" distR="114300" simplePos="0" relativeHeight="251662336" behindDoc="0" locked="0" layoutInCell="1" allowOverlap="1">
                <wp:simplePos x="0" y="0"/>
                <wp:positionH relativeFrom="column">
                  <wp:posOffset>383540</wp:posOffset>
                </wp:positionH>
                <wp:positionV relativeFrom="paragraph">
                  <wp:posOffset>926465</wp:posOffset>
                </wp:positionV>
                <wp:extent cx="5133975" cy="9525"/>
                <wp:effectExtent l="0" t="0" r="9525" b="9525"/>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flipV="1">
                          <a:off x="0" y="0"/>
                          <a:ext cx="5133975" cy="9525"/>
                        </a:xfrm>
                        <a:prstGeom prst="line">
                          <a:avLst/>
                        </a:prstGeom>
                        <a:noFill/>
                        <a:ln w="25400" cmpd="sng">
                          <a:solidFill>
                            <a:srgbClr val="FF0000"/>
                          </a:solidFill>
                          <a:round/>
                        </a:ln>
                        <a:effectLst/>
                      </wps:spPr>
                      <wps:bodyPr/>
                    </wps:wsp>
                  </a:graphicData>
                </a:graphic>
              </wp:anchor>
            </w:drawing>
          </mc:Choice>
          <mc:Fallback>
            <w:pict>
              <v:line id="_x0000_s1026" o:spid="_x0000_s1026" o:spt="20" style="position:absolute;left:0pt;flip:y;margin-left:30.2pt;margin-top:72.95pt;height:0.75pt;width:404.25pt;z-index:251662336;mso-width-relative:page;mso-height-relative:page;" filled="f" stroked="t" coordsize="21600,21600" o:gfxdata="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wqE1rWAAAACgEAAA8AAAAAAAAAAQAgAAAAIgAAAGRycy9kb3ducmV2&#10;LnhtbFBLAQIUABQAAAAIAIdO4kBOdz9S/gEAANMDAAAOAAAAAAAAAAEAIAAAACUBAABkcnMvZTJv&#10;RG9jLnhtbFBLBQYAAAAABgAGAFkBAACVBQAAAAA=&#10;">
                <v:fill on="f" focussize="0,0"/>
                <v:stroke weight="2pt" color="#FF0000" joinstyle="round"/>
                <v:imagedata o:title=""/>
                <o:lock v:ext="edit" aspectratio="f"/>
              </v:line>
            </w:pict>
          </mc:Fallback>
        </mc:AlternateContent>
      </w:r>
    </w:p>
    <w:p w14:paraId="5CA47A6F">
      <w:pPr>
        <w:spacing w:line="360" w:lineRule="auto"/>
        <w:ind w:left="480"/>
        <w:jc w:val="left"/>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具体内容如下表所示：</w:t>
      </w:r>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2374"/>
        <w:gridCol w:w="1319"/>
        <w:gridCol w:w="1451"/>
        <w:gridCol w:w="3323"/>
      </w:tblGrid>
      <w:tr w14:paraId="5F593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1ABF9B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序号</w:t>
            </w:r>
          </w:p>
        </w:tc>
        <w:tc>
          <w:tcPr>
            <w:tcW w:w="1278" w:type="pct"/>
            <w:vAlign w:val="center"/>
          </w:tcPr>
          <w:p w14:paraId="64358B4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工作内容</w:t>
            </w:r>
          </w:p>
        </w:tc>
        <w:tc>
          <w:tcPr>
            <w:tcW w:w="710" w:type="pct"/>
            <w:vAlign w:val="center"/>
          </w:tcPr>
          <w:p w14:paraId="355CC13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w:t>
            </w:r>
          </w:p>
        </w:tc>
        <w:tc>
          <w:tcPr>
            <w:tcW w:w="781" w:type="pct"/>
            <w:vAlign w:val="center"/>
          </w:tcPr>
          <w:p w14:paraId="41B92F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w:t>
            </w:r>
          </w:p>
        </w:tc>
        <w:tc>
          <w:tcPr>
            <w:tcW w:w="1789" w:type="pct"/>
            <w:vAlign w:val="center"/>
          </w:tcPr>
          <w:p w14:paraId="7D5F2D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备注</w:t>
            </w:r>
          </w:p>
        </w:tc>
      </w:tr>
      <w:tr w14:paraId="30A44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072943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1</w:t>
            </w:r>
          </w:p>
        </w:tc>
        <w:tc>
          <w:tcPr>
            <w:tcW w:w="1278" w:type="pct"/>
            <w:vAlign w:val="center"/>
          </w:tcPr>
          <w:p w14:paraId="069B3B2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厂房一次侧水</w:t>
            </w:r>
          </w:p>
        </w:tc>
        <w:tc>
          <w:tcPr>
            <w:tcW w:w="710" w:type="pct"/>
            <w:vAlign w:val="center"/>
          </w:tcPr>
          <w:p w14:paraId="207BAC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0FAE62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restart"/>
            <w:vAlign w:val="center"/>
          </w:tcPr>
          <w:p w14:paraId="356083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投标方负责提供动力配电柜的数量、参数、现场安装位置等技术要求及图纸</w:t>
            </w:r>
          </w:p>
        </w:tc>
      </w:tr>
      <w:tr w14:paraId="2604D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8562F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2</w:t>
            </w:r>
          </w:p>
        </w:tc>
        <w:tc>
          <w:tcPr>
            <w:tcW w:w="1278" w:type="pct"/>
            <w:vAlign w:val="center"/>
          </w:tcPr>
          <w:p w14:paraId="7BB5EC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厂房一次侧电</w:t>
            </w:r>
          </w:p>
        </w:tc>
        <w:tc>
          <w:tcPr>
            <w:tcW w:w="710" w:type="pct"/>
            <w:vAlign w:val="center"/>
          </w:tcPr>
          <w:p w14:paraId="1BBAA3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72A2ED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14:paraId="0404767C">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594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5423D62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3</w:t>
            </w:r>
          </w:p>
        </w:tc>
        <w:tc>
          <w:tcPr>
            <w:tcW w:w="1278" w:type="pct"/>
            <w:vAlign w:val="center"/>
          </w:tcPr>
          <w:p w14:paraId="068C330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厂房一次侧气</w:t>
            </w:r>
          </w:p>
        </w:tc>
        <w:tc>
          <w:tcPr>
            <w:tcW w:w="710" w:type="pct"/>
            <w:vAlign w:val="center"/>
          </w:tcPr>
          <w:p w14:paraId="04044E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38AA7E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14:paraId="0F5CD710">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3632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5E505F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4</w:t>
            </w:r>
          </w:p>
        </w:tc>
        <w:tc>
          <w:tcPr>
            <w:tcW w:w="1278" w:type="pct"/>
            <w:vAlign w:val="center"/>
          </w:tcPr>
          <w:p w14:paraId="631713F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生产线二次侧水</w:t>
            </w:r>
          </w:p>
        </w:tc>
        <w:tc>
          <w:tcPr>
            <w:tcW w:w="710" w:type="pct"/>
            <w:vAlign w:val="center"/>
          </w:tcPr>
          <w:p w14:paraId="42AD371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31CD74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restart"/>
            <w:vAlign w:val="center"/>
          </w:tcPr>
          <w:p w14:paraId="36B8C0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招标方将电源线接至投标方的电柜上方；投标方将压缩空气和循环水送至指定的位置，由投标方进行连接。</w:t>
            </w:r>
          </w:p>
        </w:tc>
      </w:tr>
      <w:tr w14:paraId="54DB6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710EF0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5</w:t>
            </w:r>
          </w:p>
        </w:tc>
        <w:tc>
          <w:tcPr>
            <w:tcW w:w="1278" w:type="pct"/>
            <w:vAlign w:val="center"/>
          </w:tcPr>
          <w:p w14:paraId="299F36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生产线二次侧电</w:t>
            </w:r>
          </w:p>
        </w:tc>
        <w:tc>
          <w:tcPr>
            <w:tcW w:w="710" w:type="pct"/>
            <w:vAlign w:val="center"/>
          </w:tcPr>
          <w:p w14:paraId="48782C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266CEB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14:paraId="64B4C7CB">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B33F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FCCCB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6</w:t>
            </w:r>
          </w:p>
        </w:tc>
        <w:tc>
          <w:tcPr>
            <w:tcW w:w="1278" w:type="pct"/>
            <w:vAlign w:val="center"/>
          </w:tcPr>
          <w:p w14:paraId="21DBF6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生产线二次侧气</w:t>
            </w:r>
          </w:p>
        </w:tc>
        <w:tc>
          <w:tcPr>
            <w:tcW w:w="710" w:type="pct"/>
            <w:vAlign w:val="center"/>
          </w:tcPr>
          <w:p w14:paraId="5E41D9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537004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14:paraId="34EEBBD9">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32F63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1F3FA0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7</w:t>
            </w:r>
          </w:p>
        </w:tc>
        <w:tc>
          <w:tcPr>
            <w:tcW w:w="1278" w:type="pct"/>
            <w:vAlign w:val="center"/>
          </w:tcPr>
          <w:p w14:paraId="220D31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厂房照明</w:t>
            </w:r>
          </w:p>
        </w:tc>
        <w:tc>
          <w:tcPr>
            <w:tcW w:w="710" w:type="pct"/>
            <w:vAlign w:val="center"/>
          </w:tcPr>
          <w:p w14:paraId="5A5F0D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0404A2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Align w:val="center"/>
          </w:tcPr>
          <w:p w14:paraId="3D48C2EA">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10261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25342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8</w:t>
            </w:r>
          </w:p>
        </w:tc>
        <w:tc>
          <w:tcPr>
            <w:tcW w:w="1278" w:type="pct"/>
            <w:vAlign w:val="center"/>
          </w:tcPr>
          <w:p w14:paraId="7B2485D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工位照明</w:t>
            </w:r>
          </w:p>
        </w:tc>
        <w:tc>
          <w:tcPr>
            <w:tcW w:w="710" w:type="pct"/>
            <w:vAlign w:val="center"/>
          </w:tcPr>
          <w:p w14:paraId="090625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6B6A695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14:paraId="529091AC">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12EF0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C8FA9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9</w:t>
            </w:r>
          </w:p>
        </w:tc>
        <w:tc>
          <w:tcPr>
            <w:tcW w:w="1278" w:type="pct"/>
            <w:vAlign w:val="center"/>
          </w:tcPr>
          <w:p w14:paraId="109FE89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设备基础</w:t>
            </w:r>
          </w:p>
        </w:tc>
        <w:tc>
          <w:tcPr>
            <w:tcW w:w="710" w:type="pct"/>
            <w:vAlign w:val="center"/>
          </w:tcPr>
          <w:p w14:paraId="1986B2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7110D9C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14:paraId="3A7A35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投标方提供图纸和要求</w:t>
            </w:r>
          </w:p>
        </w:tc>
      </w:tr>
    </w:tbl>
    <w:p w14:paraId="40CF271E">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2.主要外购部件/材料选型表</w:t>
      </w:r>
    </w:p>
    <w:p w14:paraId="6C412C4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1）所有的用电设备必须符合中国的标准，投标方应主动保证所提供的设备符合或通过中国法规的认证。</w:t>
      </w:r>
    </w:p>
    <w:p w14:paraId="27E534E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2）在投标方设备选型时，机械和电气元件尽可能选用同型号或种类的产品，</w:t>
      </w:r>
      <w:r>
        <w:rPr>
          <w:rFonts w:hint="eastAsia" w:ascii="宋体" w:hAnsi="宋体" w:eastAsia="宋体" w:cs="宋体"/>
          <w:sz w:val="24"/>
          <w:szCs w:val="24"/>
          <w:highlight w:val="none"/>
          <w:lang w:val="en-US" w:eastAsia="zh-CN"/>
        </w:rPr>
        <w:t>并与自动线体内相关设备品牌保持一致，</w:t>
      </w:r>
      <w:r>
        <w:rPr>
          <w:rFonts w:hint="eastAsia" w:ascii="宋体" w:hAnsi="宋体" w:eastAsia="宋体" w:cs="宋体"/>
          <w:sz w:val="24"/>
          <w:szCs w:val="24"/>
          <w:highlight w:val="none"/>
        </w:rPr>
        <w:t>以便减少备品备件种类。</w:t>
      </w:r>
    </w:p>
    <w:p w14:paraId="56C05BB5">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3）对于设备的品牌和材料，本标书未明确指定的，首先由投标方提出建议，最终经招标方评审通过并书面确认后实施。</w:t>
      </w:r>
    </w:p>
    <w:p w14:paraId="52B7EC69">
      <w:pPr>
        <w:pStyle w:val="133"/>
        <w:spacing w:line="360" w:lineRule="auto"/>
        <w:ind w:left="425" w:firstLine="0" w:firstLineChars="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4）招标方推荐设备品牌选择清单如下表所示：</w:t>
      </w:r>
    </w:p>
    <w:p w14:paraId="68B326BC">
      <w:pPr>
        <w:spacing w:after="20"/>
        <w:ind w:left="253"/>
        <w:rPr>
          <w:rFonts w:hint="eastAsia" w:ascii="宋体" w:hAnsi="宋体" w:eastAsia="宋体" w:cs="宋体"/>
          <w:b/>
          <w:sz w:val="24"/>
          <w:szCs w:val="24"/>
          <w:highlight w:val="none"/>
        </w:rPr>
      </w:pPr>
      <w:r>
        <w:rPr>
          <w:rFonts w:hint="eastAsia" w:ascii="宋体" w:hAnsi="宋体" w:eastAsia="宋体" w:cs="宋体"/>
          <w:b/>
          <w:sz w:val="24"/>
          <w:szCs w:val="24"/>
          <w:highlight w:val="none"/>
        </w:rPr>
        <w:t>机械类</w:t>
      </w:r>
    </w:p>
    <w:tbl>
      <w:tblPr>
        <w:tblStyle w:val="38"/>
        <w:tblW w:w="4996" w:type="pct"/>
        <w:jc w:val="center"/>
        <w:tblLayout w:type="fixed"/>
        <w:tblCellMar>
          <w:top w:w="0" w:type="dxa"/>
          <w:left w:w="108" w:type="dxa"/>
          <w:bottom w:w="0" w:type="dxa"/>
          <w:right w:w="108" w:type="dxa"/>
        </w:tblCellMar>
      </w:tblPr>
      <w:tblGrid>
        <w:gridCol w:w="763"/>
        <w:gridCol w:w="2502"/>
        <w:gridCol w:w="3825"/>
        <w:gridCol w:w="2189"/>
      </w:tblGrid>
      <w:tr w14:paraId="0B4FD879">
        <w:tblPrEx>
          <w:tblCellMar>
            <w:top w:w="0" w:type="dxa"/>
            <w:left w:w="108" w:type="dxa"/>
            <w:bottom w:w="0" w:type="dxa"/>
            <w:right w:w="108" w:type="dxa"/>
          </w:tblCellMar>
        </w:tblPrEx>
        <w:trPr>
          <w:trHeight w:val="454" w:hRule="atLeast"/>
          <w:jc w:val="center"/>
        </w:trPr>
        <w:tc>
          <w:tcPr>
            <w:tcW w:w="411" w:type="pct"/>
            <w:tcBorders>
              <w:top w:val="single" w:color="auto" w:sz="4" w:space="0"/>
              <w:left w:val="single" w:color="auto" w:sz="4" w:space="0"/>
              <w:bottom w:val="single" w:color="auto" w:sz="4" w:space="0"/>
              <w:right w:val="single" w:color="auto" w:sz="4" w:space="0"/>
            </w:tcBorders>
            <w:vAlign w:val="center"/>
          </w:tcPr>
          <w:p w14:paraId="26D5AFE0">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348" w:type="pct"/>
            <w:tcBorders>
              <w:top w:val="single" w:color="auto" w:sz="4" w:space="0"/>
              <w:left w:val="nil"/>
              <w:bottom w:val="single" w:color="auto" w:sz="4" w:space="0"/>
              <w:right w:val="single" w:color="auto" w:sz="4" w:space="0"/>
            </w:tcBorders>
            <w:vAlign w:val="center"/>
          </w:tcPr>
          <w:p w14:paraId="003A660C">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2061" w:type="pct"/>
            <w:tcBorders>
              <w:top w:val="single" w:color="auto" w:sz="4" w:space="0"/>
              <w:left w:val="nil"/>
              <w:bottom w:val="single" w:color="auto" w:sz="4" w:space="0"/>
              <w:right w:val="single" w:color="auto" w:sz="4" w:space="0"/>
            </w:tcBorders>
            <w:vAlign w:val="center"/>
          </w:tcPr>
          <w:p w14:paraId="3E615FFF">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179" w:type="pct"/>
            <w:tcBorders>
              <w:top w:val="single" w:color="auto" w:sz="4" w:space="0"/>
              <w:left w:val="nil"/>
              <w:bottom w:val="single" w:color="auto" w:sz="4" w:space="0"/>
              <w:right w:val="single" w:color="auto" w:sz="4" w:space="0"/>
            </w:tcBorders>
            <w:vAlign w:val="center"/>
          </w:tcPr>
          <w:p w14:paraId="443D9900">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14:paraId="7B6536C7">
        <w:tblPrEx>
          <w:tblCellMar>
            <w:top w:w="0" w:type="dxa"/>
            <w:left w:w="108" w:type="dxa"/>
            <w:bottom w:w="0" w:type="dxa"/>
            <w:right w:w="108" w:type="dxa"/>
          </w:tblCellMar>
        </w:tblPrEx>
        <w:trPr>
          <w:trHeight w:val="454" w:hRule="atLeast"/>
          <w:jc w:val="center"/>
        </w:trPr>
        <w:tc>
          <w:tcPr>
            <w:tcW w:w="411" w:type="pct"/>
            <w:tcBorders>
              <w:top w:val="nil"/>
              <w:left w:val="single" w:color="auto" w:sz="4" w:space="0"/>
              <w:bottom w:val="single" w:color="auto" w:sz="4" w:space="0"/>
              <w:right w:val="single" w:color="auto" w:sz="4" w:space="0"/>
            </w:tcBorders>
            <w:vAlign w:val="center"/>
          </w:tcPr>
          <w:p w14:paraId="0BD04E93">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348" w:type="pct"/>
            <w:tcBorders>
              <w:top w:val="nil"/>
              <w:left w:val="nil"/>
              <w:bottom w:val="single" w:color="auto" w:sz="4" w:space="0"/>
              <w:right w:val="single" w:color="auto" w:sz="4" w:space="0"/>
            </w:tcBorders>
            <w:vAlign w:val="center"/>
          </w:tcPr>
          <w:p w14:paraId="25727E10">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气缸</w:t>
            </w:r>
          </w:p>
        </w:tc>
        <w:tc>
          <w:tcPr>
            <w:tcW w:w="2061" w:type="pct"/>
            <w:tcBorders>
              <w:top w:val="nil"/>
              <w:left w:val="nil"/>
              <w:bottom w:val="single" w:color="auto" w:sz="4" w:space="0"/>
              <w:right w:val="single" w:color="auto" w:sz="4" w:space="0"/>
            </w:tcBorders>
            <w:vAlign w:val="center"/>
          </w:tcPr>
          <w:p w14:paraId="60ACDF45">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TUNKERS</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w:t>
            </w:r>
            <w:r>
              <w:rPr>
                <w:rFonts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DESTACO</w:t>
            </w:r>
            <w:r>
              <w:rPr>
                <w:rFonts w:hint="eastAsia" w:ascii="宋体" w:hAnsi="宋体" w:eastAsia="宋体" w:cs="宋体"/>
                <w:color w:val="000000"/>
                <w:kern w:val="0"/>
                <w:sz w:val="24"/>
                <w:szCs w:val="24"/>
                <w:highlight w:val="none"/>
              </w:rPr>
              <w:t>或同等品牌</w:t>
            </w:r>
          </w:p>
        </w:tc>
        <w:tc>
          <w:tcPr>
            <w:tcW w:w="1179" w:type="pct"/>
            <w:tcBorders>
              <w:top w:val="nil"/>
              <w:left w:val="nil"/>
              <w:bottom w:val="single" w:color="auto" w:sz="4" w:space="0"/>
              <w:right w:val="single" w:color="auto" w:sz="4" w:space="0"/>
            </w:tcBorders>
            <w:vAlign w:val="center"/>
          </w:tcPr>
          <w:p w14:paraId="60B2DDF8">
            <w:pPr>
              <w:widowControl/>
              <w:jc w:val="center"/>
              <w:rPr>
                <w:rFonts w:hint="default" w:ascii="宋体" w:hAnsi="宋体" w:eastAsia="宋体" w:cs="宋体"/>
                <w:color w:val="000000"/>
                <w:kern w:val="0"/>
                <w:sz w:val="24"/>
                <w:szCs w:val="24"/>
                <w:highlight w:val="none"/>
                <w:lang w:val="en-US" w:eastAsia="zh-CN"/>
              </w:rPr>
            </w:pPr>
          </w:p>
        </w:tc>
      </w:tr>
      <w:tr w14:paraId="46A5C80C">
        <w:tblPrEx>
          <w:tblCellMar>
            <w:top w:w="0" w:type="dxa"/>
            <w:left w:w="108" w:type="dxa"/>
            <w:bottom w:w="0" w:type="dxa"/>
            <w:right w:w="108" w:type="dxa"/>
          </w:tblCellMar>
        </w:tblPrEx>
        <w:trPr>
          <w:trHeight w:val="454" w:hRule="atLeast"/>
          <w:jc w:val="center"/>
        </w:trPr>
        <w:tc>
          <w:tcPr>
            <w:tcW w:w="411" w:type="pct"/>
            <w:tcBorders>
              <w:top w:val="nil"/>
              <w:left w:val="single" w:color="auto" w:sz="4" w:space="0"/>
              <w:bottom w:val="single" w:color="auto" w:sz="4" w:space="0"/>
              <w:right w:val="single" w:color="auto" w:sz="4" w:space="0"/>
            </w:tcBorders>
            <w:vAlign w:val="center"/>
          </w:tcPr>
          <w:p w14:paraId="51BDB436">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348" w:type="pct"/>
            <w:tcBorders>
              <w:top w:val="nil"/>
              <w:left w:val="nil"/>
              <w:bottom w:val="single" w:color="auto" w:sz="4" w:space="0"/>
              <w:right w:val="single" w:color="auto" w:sz="4" w:space="0"/>
            </w:tcBorders>
            <w:vAlign w:val="center"/>
          </w:tcPr>
          <w:p w14:paraId="0023DD2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气管、接头、气源处理、气动控制元件</w:t>
            </w:r>
          </w:p>
        </w:tc>
        <w:tc>
          <w:tcPr>
            <w:tcW w:w="2061" w:type="pct"/>
            <w:tcBorders>
              <w:top w:val="nil"/>
              <w:left w:val="nil"/>
              <w:bottom w:val="single" w:color="auto" w:sz="4" w:space="0"/>
              <w:right w:val="single" w:color="auto" w:sz="4" w:space="0"/>
            </w:tcBorders>
            <w:vAlign w:val="center"/>
          </w:tcPr>
          <w:p w14:paraId="10ABDD8B">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FESTO</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SMC或同等品牌</w:t>
            </w:r>
          </w:p>
        </w:tc>
        <w:tc>
          <w:tcPr>
            <w:tcW w:w="1179" w:type="pct"/>
            <w:tcBorders>
              <w:top w:val="nil"/>
              <w:left w:val="nil"/>
              <w:bottom w:val="single" w:color="auto" w:sz="4" w:space="0"/>
              <w:right w:val="single" w:color="auto" w:sz="4" w:space="0"/>
            </w:tcBorders>
            <w:vAlign w:val="center"/>
          </w:tcPr>
          <w:p w14:paraId="3AFE59B3">
            <w:pPr>
              <w:widowControl/>
              <w:jc w:val="center"/>
              <w:rPr>
                <w:rFonts w:hint="eastAsia" w:ascii="宋体" w:hAnsi="宋体" w:eastAsia="宋体" w:cs="宋体"/>
                <w:color w:val="000000"/>
                <w:kern w:val="0"/>
                <w:sz w:val="24"/>
                <w:szCs w:val="24"/>
                <w:highlight w:val="none"/>
              </w:rPr>
            </w:pPr>
          </w:p>
        </w:tc>
      </w:tr>
    </w:tbl>
    <w:p w14:paraId="5D223A1B">
      <w:pPr>
        <w:spacing w:before="22" w:after="21"/>
        <w:rPr>
          <w:rFonts w:hint="eastAsia" w:ascii="宋体" w:hAnsi="宋体" w:eastAsia="宋体" w:cs="宋体"/>
          <w:b/>
          <w:sz w:val="24"/>
          <w:szCs w:val="24"/>
          <w:highlight w:val="none"/>
        </w:rPr>
      </w:pPr>
    </w:p>
    <w:p w14:paraId="5CBACF07">
      <w:pPr>
        <w:spacing w:after="20"/>
        <w:ind w:left="253"/>
        <w:rPr>
          <w:rFonts w:hint="eastAsia" w:ascii="宋体" w:hAnsi="宋体" w:eastAsia="宋体" w:cs="宋体"/>
          <w:b/>
          <w:sz w:val="24"/>
          <w:szCs w:val="24"/>
          <w:highlight w:val="none"/>
          <w:lang w:eastAsia="zh-CN"/>
        </w:rPr>
      </w:pPr>
      <w:r>
        <w:rPr>
          <w:rFonts w:hint="eastAsia" w:ascii="宋体" w:hAnsi="宋体" w:eastAsia="宋体" w:cs="宋体"/>
          <w:b/>
          <w:sz w:val="24"/>
          <w:szCs w:val="24"/>
          <w:highlight w:val="none"/>
        </w:rPr>
        <w:t>电气</w:t>
      </w:r>
      <w:r>
        <w:rPr>
          <w:rFonts w:hint="eastAsia" w:ascii="宋体" w:hAnsi="宋体" w:eastAsia="宋体" w:cs="宋体"/>
          <w:b/>
          <w:sz w:val="24"/>
          <w:szCs w:val="24"/>
          <w:highlight w:val="none"/>
          <w:lang w:val="en-US" w:eastAsia="zh-CN"/>
        </w:rPr>
        <w:t>类</w:t>
      </w:r>
    </w:p>
    <w:tbl>
      <w:tblPr>
        <w:tblStyle w:val="38"/>
        <w:tblW w:w="4996" w:type="pct"/>
        <w:jc w:val="center"/>
        <w:tblLayout w:type="autofit"/>
        <w:tblCellMar>
          <w:top w:w="0" w:type="dxa"/>
          <w:left w:w="108" w:type="dxa"/>
          <w:bottom w:w="0" w:type="dxa"/>
          <w:right w:w="108" w:type="dxa"/>
        </w:tblCellMar>
      </w:tblPr>
      <w:tblGrid>
        <w:gridCol w:w="856"/>
        <w:gridCol w:w="2237"/>
        <w:gridCol w:w="2861"/>
        <w:gridCol w:w="3325"/>
      </w:tblGrid>
      <w:tr w14:paraId="1EC63A7F">
        <w:tblPrEx>
          <w:tblCellMar>
            <w:top w:w="0" w:type="dxa"/>
            <w:left w:w="108" w:type="dxa"/>
            <w:bottom w:w="0" w:type="dxa"/>
            <w:right w:w="108" w:type="dxa"/>
          </w:tblCellMar>
        </w:tblPrEx>
        <w:trPr>
          <w:trHeight w:val="340" w:hRule="atLeast"/>
          <w:jc w:val="center"/>
        </w:trPr>
        <w:tc>
          <w:tcPr>
            <w:tcW w:w="461" w:type="pct"/>
            <w:tcBorders>
              <w:top w:val="single" w:color="auto" w:sz="4" w:space="0"/>
              <w:left w:val="single" w:color="auto" w:sz="4" w:space="0"/>
              <w:bottom w:val="single" w:color="auto" w:sz="4" w:space="0"/>
              <w:right w:val="single" w:color="auto" w:sz="4" w:space="0"/>
            </w:tcBorders>
            <w:vAlign w:val="center"/>
          </w:tcPr>
          <w:p w14:paraId="4EEEFEC9">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205" w:type="pct"/>
            <w:tcBorders>
              <w:top w:val="single" w:color="auto" w:sz="4" w:space="0"/>
              <w:left w:val="nil"/>
              <w:bottom w:val="single" w:color="auto" w:sz="4" w:space="0"/>
              <w:right w:val="single" w:color="auto" w:sz="4" w:space="0"/>
            </w:tcBorders>
            <w:vAlign w:val="center"/>
          </w:tcPr>
          <w:p w14:paraId="3D568D5A">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1541" w:type="pct"/>
            <w:tcBorders>
              <w:top w:val="single" w:color="auto" w:sz="4" w:space="0"/>
              <w:left w:val="nil"/>
              <w:bottom w:val="single" w:color="auto" w:sz="4" w:space="0"/>
              <w:right w:val="single" w:color="auto" w:sz="4" w:space="0"/>
            </w:tcBorders>
            <w:vAlign w:val="center"/>
          </w:tcPr>
          <w:p w14:paraId="56306EAC">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791" w:type="pct"/>
            <w:tcBorders>
              <w:top w:val="single" w:color="auto" w:sz="4" w:space="0"/>
              <w:left w:val="nil"/>
              <w:bottom w:val="single" w:color="auto" w:sz="4" w:space="0"/>
              <w:right w:val="single" w:color="auto" w:sz="4" w:space="0"/>
            </w:tcBorders>
            <w:vAlign w:val="center"/>
          </w:tcPr>
          <w:p w14:paraId="5EE6AFF3">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14:paraId="1AE24091">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77875F8A">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205" w:type="pct"/>
            <w:tcBorders>
              <w:top w:val="nil"/>
              <w:left w:val="nil"/>
              <w:bottom w:val="single" w:color="auto" w:sz="4" w:space="0"/>
              <w:right w:val="single" w:color="auto" w:sz="4" w:space="0"/>
            </w:tcBorders>
            <w:vAlign w:val="center"/>
          </w:tcPr>
          <w:p w14:paraId="72A56D73">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PLC及相关元器件</w:t>
            </w:r>
          </w:p>
        </w:tc>
        <w:tc>
          <w:tcPr>
            <w:tcW w:w="1541" w:type="pct"/>
            <w:tcBorders>
              <w:top w:val="nil"/>
              <w:left w:val="nil"/>
              <w:bottom w:val="single" w:color="auto" w:sz="4" w:space="0"/>
              <w:right w:val="single" w:color="auto" w:sz="4" w:space="0"/>
            </w:tcBorders>
            <w:vAlign w:val="center"/>
          </w:tcPr>
          <w:p w14:paraId="129845F4">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21C17DFF">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Profinet通讯协议</w:t>
            </w:r>
          </w:p>
        </w:tc>
      </w:tr>
      <w:tr w14:paraId="31844669">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CA4E1D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205" w:type="pct"/>
            <w:tcBorders>
              <w:top w:val="nil"/>
              <w:left w:val="nil"/>
              <w:bottom w:val="single" w:color="auto" w:sz="4" w:space="0"/>
              <w:right w:val="single" w:color="auto" w:sz="4" w:space="0"/>
            </w:tcBorders>
            <w:vAlign w:val="center"/>
          </w:tcPr>
          <w:p w14:paraId="50702D66">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远程接口模块</w:t>
            </w:r>
          </w:p>
        </w:tc>
        <w:tc>
          <w:tcPr>
            <w:tcW w:w="1541" w:type="pct"/>
            <w:tcBorders>
              <w:top w:val="nil"/>
              <w:left w:val="nil"/>
              <w:bottom w:val="single" w:color="auto" w:sz="4" w:space="0"/>
              <w:right w:val="single" w:color="auto" w:sz="4" w:space="0"/>
            </w:tcBorders>
            <w:vAlign w:val="center"/>
          </w:tcPr>
          <w:p w14:paraId="2766770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694117B4">
            <w:pPr>
              <w:widowControl/>
              <w:jc w:val="center"/>
              <w:rPr>
                <w:rFonts w:hint="eastAsia" w:ascii="宋体" w:hAnsi="宋体" w:eastAsia="宋体" w:cs="宋体"/>
                <w:color w:val="000000"/>
                <w:kern w:val="0"/>
                <w:sz w:val="24"/>
                <w:szCs w:val="24"/>
                <w:highlight w:val="none"/>
                <w:lang w:eastAsia="zh-CN"/>
              </w:rPr>
            </w:pPr>
          </w:p>
        </w:tc>
      </w:tr>
      <w:tr w14:paraId="286B5E6C">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3BE5273F">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3</w:t>
            </w:r>
          </w:p>
        </w:tc>
        <w:tc>
          <w:tcPr>
            <w:tcW w:w="1205" w:type="pct"/>
            <w:tcBorders>
              <w:top w:val="nil"/>
              <w:left w:val="nil"/>
              <w:bottom w:val="single" w:color="auto" w:sz="4" w:space="0"/>
              <w:right w:val="single" w:color="auto" w:sz="4" w:space="0"/>
            </w:tcBorders>
            <w:vAlign w:val="center"/>
          </w:tcPr>
          <w:p w14:paraId="5F4574C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接近开关</w:t>
            </w:r>
          </w:p>
        </w:tc>
        <w:tc>
          <w:tcPr>
            <w:tcW w:w="1541" w:type="pct"/>
            <w:tcBorders>
              <w:top w:val="nil"/>
              <w:left w:val="nil"/>
              <w:bottom w:val="single" w:color="auto" w:sz="4" w:space="0"/>
              <w:right w:val="single" w:color="auto" w:sz="4" w:space="0"/>
            </w:tcBorders>
            <w:vAlign w:val="center"/>
          </w:tcPr>
          <w:p w14:paraId="24BDC43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5B3725D9">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带专用的接近开关保护套</w:t>
            </w:r>
          </w:p>
        </w:tc>
      </w:tr>
      <w:tr w14:paraId="6734B2D6">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4EA97A23">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4</w:t>
            </w:r>
          </w:p>
        </w:tc>
        <w:tc>
          <w:tcPr>
            <w:tcW w:w="1205" w:type="pct"/>
            <w:tcBorders>
              <w:top w:val="nil"/>
              <w:left w:val="nil"/>
              <w:bottom w:val="single" w:color="auto" w:sz="4" w:space="0"/>
              <w:right w:val="single" w:color="auto" w:sz="4" w:space="0"/>
            </w:tcBorders>
            <w:vAlign w:val="center"/>
          </w:tcPr>
          <w:p w14:paraId="60781D1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行程开关</w:t>
            </w:r>
          </w:p>
        </w:tc>
        <w:tc>
          <w:tcPr>
            <w:tcW w:w="1541" w:type="pct"/>
            <w:tcBorders>
              <w:top w:val="nil"/>
              <w:left w:val="nil"/>
              <w:bottom w:val="single" w:color="auto" w:sz="4" w:space="0"/>
              <w:right w:val="single" w:color="auto" w:sz="4" w:space="0"/>
            </w:tcBorders>
            <w:vAlign w:val="center"/>
          </w:tcPr>
          <w:p w14:paraId="3DE40A37">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OMRON或同等品牌</w:t>
            </w:r>
          </w:p>
        </w:tc>
        <w:tc>
          <w:tcPr>
            <w:tcW w:w="1791" w:type="pct"/>
            <w:tcBorders>
              <w:top w:val="nil"/>
              <w:left w:val="nil"/>
              <w:bottom w:val="single" w:color="auto" w:sz="4" w:space="0"/>
              <w:right w:val="single" w:color="auto" w:sz="4" w:space="0"/>
            </w:tcBorders>
            <w:vAlign w:val="center"/>
          </w:tcPr>
          <w:p w14:paraId="6524BCEC">
            <w:pPr>
              <w:widowControl/>
              <w:jc w:val="center"/>
              <w:rPr>
                <w:rFonts w:hint="eastAsia" w:ascii="宋体" w:hAnsi="宋体" w:eastAsia="宋体" w:cs="宋体"/>
                <w:color w:val="000000"/>
                <w:kern w:val="0"/>
                <w:sz w:val="24"/>
                <w:szCs w:val="24"/>
                <w:highlight w:val="none"/>
                <w:lang w:eastAsia="zh-CN"/>
              </w:rPr>
            </w:pPr>
          </w:p>
        </w:tc>
      </w:tr>
      <w:tr w14:paraId="2C98F2C4">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F89E40A">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5</w:t>
            </w:r>
          </w:p>
        </w:tc>
        <w:tc>
          <w:tcPr>
            <w:tcW w:w="1205" w:type="pct"/>
            <w:tcBorders>
              <w:top w:val="nil"/>
              <w:left w:val="nil"/>
              <w:bottom w:val="single" w:color="auto" w:sz="4" w:space="0"/>
              <w:right w:val="single" w:color="auto" w:sz="4" w:space="0"/>
            </w:tcBorders>
            <w:vAlign w:val="center"/>
          </w:tcPr>
          <w:p w14:paraId="010F5F7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光电开光</w:t>
            </w:r>
          </w:p>
        </w:tc>
        <w:tc>
          <w:tcPr>
            <w:tcW w:w="1541" w:type="pct"/>
            <w:tcBorders>
              <w:top w:val="nil"/>
              <w:left w:val="nil"/>
              <w:bottom w:val="single" w:color="auto" w:sz="4" w:space="0"/>
              <w:right w:val="single" w:color="auto" w:sz="4" w:space="0"/>
            </w:tcBorders>
            <w:vAlign w:val="center"/>
          </w:tcPr>
          <w:p w14:paraId="739F208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138CB7C0">
            <w:pPr>
              <w:widowControl/>
              <w:jc w:val="center"/>
              <w:rPr>
                <w:rFonts w:hint="eastAsia" w:ascii="宋体" w:hAnsi="宋体" w:eastAsia="宋体" w:cs="宋体"/>
                <w:color w:val="000000"/>
                <w:kern w:val="0"/>
                <w:sz w:val="24"/>
                <w:szCs w:val="24"/>
                <w:highlight w:val="none"/>
                <w:lang w:eastAsia="zh-CN"/>
              </w:rPr>
            </w:pPr>
          </w:p>
        </w:tc>
      </w:tr>
      <w:tr w14:paraId="680036EC">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4C0A273">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6</w:t>
            </w:r>
          </w:p>
        </w:tc>
        <w:tc>
          <w:tcPr>
            <w:tcW w:w="1205" w:type="pct"/>
            <w:tcBorders>
              <w:top w:val="nil"/>
              <w:left w:val="nil"/>
              <w:bottom w:val="single" w:color="auto" w:sz="4" w:space="0"/>
              <w:right w:val="single" w:color="auto" w:sz="4" w:space="0"/>
            </w:tcBorders>
            <w:vAlign w:val="center"/>
          </w:tcPr>
          <w:p w14:paraId="5F3610C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安全光栅、扫描仪</w:t>
            </w:r>
          </w:p>
        </w:tc>
        <w:tc>
          <w:tcPr>
            <w:tcW w:w="1541" w:type="pct"/>
            <w:tcBorders>
              <w:top w:val="nil"/>
              <w:left w:val="nil"/>
              <w:bottom w:val="single" w:color="auto" w:sz="4" w:space="0"/>
              <w:right w:val="single" w:color="auto" w:sz="4" w:space="0"/>
            </w:tcBorders>
            <w:vAlign w:val="center"/>
          </w:tcPr>
          <w:p w14:paraId="5CEF7F0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14:paraId="1C5EF5AB">
            <w:pPr>
              <w:widowControl/>
              <w:jc w:val="center"/>
              <w:rPr>
                <w:rFonts w:hint="eastAsia" w:ascii="宋体" w:hAnsi="宋体" w:eastAsia="宋体" w:cs="宋体"/>
                <w:color w:val="000000"/>
                <w:kern w:val="0"/>
                <w:sz w:val="24"/>
                <w:szCs w:val="24"/>
                <w:highlight w:val="none"/>
                <w:lang w:eastAsia="zh-CN"/>
              </w:rPr>
            </w:pPr>
          </w:p>
        </w:tc>
      </w:tr>
      <w:tr w14:paraId="75AAA320">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32A5C7AB">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7</w:t>
            </w:r>
          </w:p>
        </w:tc>
        <w:tc>
          <w:tcPr>
            <w:tcW w:w="1205" w:type="pct"/>
            <w:tcBorders>
              <w:top w:val="nil"/>
              <w:left w:val="nil"/>
              <w:bottom w:val="single" w:color="auto" w:sz="4" w:space="0"/>
              <w:right w:val="single" w:color="auto" w:sz="4" w:space="0"/>
            </w:tcBorders>
            <w:vAlign w:val="center"/>
          </w:tcPr>
          <w:p w14:paraId="7D7BECF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安全门锁</w:t>
            </w:r>
          </w:p>
        </w:tc>
        <w:tc>
          <w:tcPr>
            <w:tcW w:w="1541" w:type="pct"/>
            <w:tcBorders>
              <w:top w:val="nil"/>
              <w:left w:val="nil"/>
              <w:bottom w:val="single" w:color="auto" w:sz="4" w:space="0"/>
              <w:right w:val="single" w:color="auto" w:sz="4" w:space="0"/>
            </w:tcBorders>
            <w:vAlign w:val="center"/>
          </w:tcPr>
          <w:p w14:paraId="3BFB9A5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14:paraId="24242018">
            <w:pPr>
              <w:widowControl/>
              <w:jc w:val="center"/>
              <w:rPr>
                <w:rFonts w:hint="eastAsia" w:ascii="宋体" w:hAnsi="宋体" w:eastAsia="宋体" w:cs="宋体"/>
                <w:color w:val="000000"/>
                <w:kern w:val="0"/>
                <w:sz w:val="24"/>
                <w:szCs w:val="24"/>
                <w:highlight w:val="none"/>
                <w:lang w:eastAsia="zh-CN"/>
              </w:rPr>
            </w:pPr>
          </w:p>
        </w:tc>
      </w:tr>
      <w:tr w14:paraId="3DDE9150">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47BCCDE6">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8</w:t>
            </w:r>
          </w:p>
        </w:tc>
        <w:tc>
          <w:tcPr>
            <w:tcW w:w="1205" w:type="pct"/>
            <w:tcBorders>
              <w:top w:val="nil"/>
              <w:left w:val="nil"/>
              <w:bottom w:val="single" w:color="auto" w:sz="4" w:space="0"/>
              <w:right w:val="single" w:color="auto" w:sz="4" w:space="0"/>
            </w:tcBorders>
            <w:vAlign w:val="center"/>
          </w:tcPr>
          <w:p w14:paraId="1A22B74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动力电缆</w:t>
            </w:r>
          </w:p>
        </w:tc>
        <w:tc>
          <w:tcPr>
            <w:tcW w:w="1541" w:type="pct"/>
            <w:tcBorders>
              <w:top w:val="nil"/>
              <w:left w:val="nil"/>
              <w:bottom w:val="single" w:color="auto" w:sz="4" w:space="0"/>
              <w:right w:val="single" w:color="auto" w:sz="4" w:space="0"/>
            </w:tcBorders>
            <w:vAlign w:val="center"/>
          </w:tcPr>
          <w:p w14:paraId="1966DA59">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远东或同等品牌</w:t>
            </w:r>
          </w:p>
        </w:tc>
        <w:tc>
          <w:tcPr>
            <w:tcW w:w="1791" w:type="pct"/>
            <w:tcBorders>
              <w:top w:val="nil"/>
              <w:left w:val="nil"/>
              <w:bottom w:val="single" w:color="auto" w:sz="4" w:space="0"/>
              <w:right w:val="single" w:color="auto" w:sz="4" w:space="0"/>
            </w:tcBorders>
            <w:vAlign w:val="center"/>
          </w:tcPr>
          <w:p w14:paraId="7B5A8996">
            <w:pPr>
              <w:widowControl/>
              <w:jc w:val="center"/>
              <w:rPr>
                <w:rFonts w:hint="eastAsia" w:ascii="宋体" w:hAnsi="宋体" w:eastAsia="宋体" w:cs="宋体"/>
                <w:color w:val="000000"/>
                <w:kern w:val="0"/>
                <w:sz w:val="24"/>
                <w:szCs w:val="24"/>
                <w:highlight w:val="none"/>
                <w:lang w:eastAsia="zh-CN"/>
              </w:rPr>
            </w:pPr>
          </w:p>
        </w:tc>
      </w:tr>
      <w:tr w14:paraId="10121EB7">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2D11C84">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9</w:t>
            </w:r>
          </w:p>
        </w:tc>
        <w:tc>
          <w:tcPr>
            <w:tcW w:w="1205" w:type="pct"/>
            <w:tcBorders>
              <w:top w:val="nil"/>
              <w:left w:val="nil"/>
              <w:bottom w:val="single" w:color="auto" w:sz="4" w:space="0"/>
              <w:right w:val="single" w:color="auto" w:sz="4" w:space="0"/>
            </w:tcBorders>
            <w:vAlign w:val="center"/>
          </w:tcPr>
          <w:p w14:paraId="2F8B66CE">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柔性电缆</w:t>
            </w:r>
          </w:p>
        </w:tc>
        <w:tc>
          <w:tcPr>
            <w:tcW w:w="1541" w:type="pct"/>
            <w:tcBorders>
              <w:top w:val="nil"/>
              <w:left w:val="nil"/>
              <w:bottom w:val="single" w:color="auto" w:sz="4" w:space="0"/>
              <w:right w:val="single" w:color="auto" w:sz="4" w:space="0"/>
            </w:tcBorders>
            <w:vAlign w:val="center"/>
          </w:tcPr>
          <w:p w14:paraId="2EC705E7">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和柔或同等品牌</w:t>
            </w:r>
          </w:p>
        </w:tc>
        <w:tc>
          <w:tcPr>
            <w:tcW w:w="1791" w:type="pct"/>
            <w:tcBorders>
              <w:top w:val="nil"/>
              <w:left w:val="nil"/>
              <w:bottom w:val="single" w:color="auto" w:sz="4" w:space="0"/>
              <w:right w:val="single" w:color="auto" w:sz="4" w:space="0"/>
            </w:tcBorders>
            <w:vAlign w:val="center"/>
          </w:tcPr>
          <w:p w14:paraId="6C51BE88">
            <w:pPr>
              <w:widowControl/>
              <w:jc w:val="center"/>
              <w:rPr>
                <w:rFonts w:hint="eastAsia" w:ascii="宋体" w:hAnsi="宋体" w:eastAsia="宋体" w:cs="宋体"/>
                <w:color w:val="000000"/>
                <w:kern w:val="0"/>
                <w:sz w:val="24"/>
                <w:szCs w:val="24"/>
                <w:highlight w:val="none"/>
                <w:lang w:eastAsia="zh-CN"/>
              </w:rPr>
            </w:pPr>
          </w:p>
        </w:tc>
      </w:tr>
      <w:tr w14:paraId="5E1B5779">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F86DE0A">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10</w:t>
            </w:r>
          </w:p>
        </w:tc>
        <w:tc>
          <w:tcPr>
            <w:tcW w:w="1205" w:type="pct"/>
            <w:tcBorders>
              <w:top w:val="nil"/>
              <w:left w:val="nil"/>
              <w:bottom w:val="single" w:color="auto" w:sz="4" w:space="0"/>
              <w:right w:val="single" w:color="auto" w:sz="4" w:space="0"/>
            </w:tcBorders>
            <w:vAlign w:val="center"/>
          </w:tcPr>
          <w:p w14:paraId="441DBB8F">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通信电缆</w:t>
            </w:r>
          </w:p>
        </w:tc>
        <w:tc>
          <w:tcPr>
            <w:tcW w:w="1541" w:type="pct"/>
            <w:tcBorders>
              <w:top w:val="nil"/>
              <w:left w:val="nil"/>
              <w:bottom w:val="single" w:color="auto" w:sz="4" w:space="0"/>
              <w:right w:val="single" w:color="auto" w:sz="4" w:space="0"/>
            </w:tcBorders>
            <w:vAlign w:val="center"/>
          </w:tcPr>
          <w:p w14:paraId="1C7CB95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415048D1">
            <w:pPr>
              <w:widowControl/>
              <w:jc w:val="center"/>
              <w:rPr>
                <w:rFonts w:hint="eastAsia" w:ascii="宋体" w:hAnsi="宋体" w:eastAsia="宋体" w:cs="宋体"/>
                <w:color w:val="000000"/>
                <w:kern w:val="0"/>
                <w:sz w:val="24"/>
                <w:szCs w:val="24"/>
                <w:highlight w:val="none"/>
                <w:lang w:eastAsia="zh-CN"/>
              </w:rPr>
            </w:pPr>
          </w:p>
        </w:tc>
      </w:tr>
      <w:tr w14:paraId="5BC00292">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C967D7F">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11</w:t>
            </w:r>
          </w:p>
        </w:tc>
        <w:tc>
          <w:tcPr>
            <w:tcW w:w="1205" w:type="pct"/>
            <w:tcBorders>
              <w:top w:val="nil"/>
              <w:left w:val="nil"/>
              <w:bottom w:val="single" w:color="auto" w:sz="4" w:space="0"/>
              <w:right w:val="single" w:color="auto" w:sz="4" w:space="0"/>
            </w:tcBorders>
            <w:vAlign w:val="center"/>
          </w:tcPr>
          <w:p w14:paraId="7CED709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信号线</w:t>
            </w:r>
          </w:p>
        </w:tc>
        <w:tc>
          <w:tcPr>
            <w:tcW w:w="1541" w:type="pct"/>
            <w:tcBorders>
              <w:top w:val="nil"/>
              <w:left w:val="nil"/>
              <w:bottom w:val="single" w:color="auto" w:sz="4" w:space="0"/>
              <w:right w:val="single" w:color="auto" w:sz="4" w:space="0"/>
            </w:tcBorders>
            <w:vAlign w:val="center"/>
          </w:tcPr>
          <w:p w14:paraId="45EC596E">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1EF9CBF3">
            <w:pPr>
              <w:widowControl/>
              <w:jc w:val="center"/>
              <w:rPr>
                <w:rFonts w:hint="eastAsia" w:ascii="宋体" w:hAnsi="宋体" w:eastAsia="宋体" w:cs="宋体"/>
                <w:color w:val="000000"/>
                <w:kern w:val="0"/>
                <w:sz w:val="24"/>
                <w:szCs w:val="24"/>
                <w:highlight w:val="none"/>
                <w:lang w:eastAsia="zh-CN"/>
              </w:rPr>
            </w:pPr>
          </w:p>
        </w:tc>
      </w:tr>
    </w:tbl>
    <w:p w14:paraId="3C8F774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5）若涉及机器人相关设备，机器人所选择品牌、型号、数量及产地需在投标文件中明确。</w:t>
      </w:r>
    </w:p>
    <w:p w14:paraId="03CE69E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6）生产线的传感器、感应开关适用于焊装现场的抗强磁环境，具体选用品牌需在标书中明确。</w:t>
      </w:r>
    </w:p>
    <w:p w14:paraId="1FF18D9E">
      <w:pPr>
        <w:spacing w:line="360" w:lineRule="auto"/>
        <w:ind w:firstLine="560" w:firstLineChars="200"/>
        <w:rPr>
          <w:rFonts w:hint="eastAsia" w:ascii="宋体" w:hAnsi="宋体" w:eastAsia="等线" w:cs="宋体"/>
          <w:sz w:val="28"/>
          <w:szCs w:val="28"/>
          <w:highlight w:val="none"/>
        </w:rPr>
      </w:pPr>
      <w:r>
        <w:rPr>
          <w:rFonts w:ascii="宋体" w:hAnsi="宋体" w:eastAsia="等线" w:cs="宋体"/>
          <w:sz w:val="28"/>
          <w:szCs w:val="28"/>
          <w:highlight w:val="none"/>
        </w:rPr>
        <w:br w:type="page"/>
      </w:r>
    </w:p>
    <w:p w14:paraId="0DD8DD92">
      <w:pPr>
        <w:keepNext/>
        <w:keepLines/>
        <w:spacing w:before="120" w:after="120" w:line="360" w:lineRule="auto"/>
        <w:jc w:val="center"/>
        <w:outlineLvl w:val="0"/>
        <w:rPr>
          <w:rFonts w:hint="eastAsia" w:ascii="黑体" w:hAnsi="黑体" w:eastAsia="黑体" w:cs="黑体"/>
          <w:kern w:val="44"/>
          <w:sz w:val="28"/>
          <w:szCs w:val="28"/>
          <w:highlight w:val="none"/>
        </w:rPr>
      </w:pPr>
      <w:bookmarkStart w:id="36" w:name="_Toc20308"/>
      <w:bookmarkStart w:id="37" w:name="_Toc28293"/>
      <w:r>
        <w:rPr>
          <w:rFonts w:hint="eastAsia" w:ascii="黑体" w:hAnsi="黑体" w:eastAsia="黑体" w:cs="黑体"/>
          <w:kern w:val="44"/>
          <w:sz w:val="28"/>
          <w:szCs w:val="28"/>
          <w:highlight w:val="none"/>
        </w:rPr>
        <w:t>第二章</w:t>
      </w:r>
      <w:r>
        <w:rPr>
          <w:rFonts w:ascii="黑体" w:hAnsi="黑体" w:eastAsia="黑体" w:cs="黑体"/>
          <w:kern w:val="44"/>
          <w:sz w:val="28"/>
          <w:szCs w:val="28"/>
          <w:highlight w:val="none"/>
        </w:rPr>
        <w:t xml:space="preserve">  </w:t>
      </w:r>
      <w:r>
        <w:rPr>
          <w:rFonts w:hint="eastAsia" w:ascii="黑体" w:hAnsi="黑体" w:eastAsia="黑体" w:cs="黑体"/>
          <w:kern w:val="44"/>
          <w:sz w:val="28"/>
          <w:szCs w:val="28"/>
          <w:highlight w:val="none"/>
        </w:rPr>
        <w:t>技术要求</w:t>
      </w:r>
      <w:bookmarkEnd w:id="35"/>
      <w:bookmarkEnd w:id="36"/>
      <w:bookmarkEnd w:id="37"/>
    </w:p>
    <w:p w14:paraId="4AE95355">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一、特别提示</w:t>
      </w:r>
    </w:p>
    <w:p w14:paraId="58A5687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、本章技术要求，仅对功能、设计、结构、性能、安装和试验检验等方面，提出了最低和一般性的技术要求，并未对一切技术细节作出规定。</w:t>
      </w:r>
    </w:p>
    <w:p w14:paraId="00E4173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、本技术要求所使用的标准、规范等，如与投标方所执行的标准、规范不一致时，应按高于本技术要求所列的标准、规范执行。</w:t>
      </w:r>
    </w:p>
    <w:p w14:paraId="077AF90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、投标方认为所供货物必需由招标方配备、解决或提供的其它要求，如设备基础隔振和减振设施、软化水、洁净气源等，均应在投标文件“技术偏离”中予以充分说明。</w:t>
      </w:r>
    </w:p>
    <w:p w14:paraId="1C38CD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根据招投标货物具体要求，提出对厂房、设备基础（或安装平台）、公用设施、消防、环保等超出招标文件、投标文件、答疑文件、技术交流文件、技术协议书和合同等规定的、有特殊需要的解释、说明和要求。</w:t>
      </w:r>
    </w:p>
    <w:p w14:paraId="0B78C68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、无论是否有技术偏离，投标方均应在投标文件“技术偏离”中明确作出有无说明。若有异议，不管是多么微小，投标方必须予以明确和详细的说明或澄清。</w:t>
      </w:r>
    </w:p>
    <w:p w14:paraId="21A4426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、为避免投标方优势在招标评审时漏项，质保期超出本技术标书要求的，应当在投标文件“技术偏离”中特别注明。</w:t>
      </w:r>
    </w:p>
    <w:p w14:paraId="605F29A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、投标文件中，针对“特别提示”条款所做的回应，将作为投标方能否中标的重要依据之一。</w:t>
      </w:r>
    </w:p>
    <w:p w14:paraId="1F2DE9B1">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二、基本要求</w:t>
      </w:r>
    </w:p>
    <w:p w14:paraId="362EB96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、投标方所供的货物，必须符合中国最新版的法律、法规和相关标准、规范的要求，符合项目所在地政府有关特殊要求。</w:t>
      </w:r>
    </w:p>
    <w:p w14:paraId="4CCA671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、投标方所供货物涉及的专利权技术以及知识产权保护的其它技术等，应保证招标方不因此受到任何侵权指控以及实际损失。</w:t>
      </w:r>
    </w:p>
    <w:p w14:paraId="5FCBC85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、投标方应保证所供货物的先进性、可靠性、经济性和实用性，并为全新货物（或设备）。</w:t>
      </w:r>
    </w:p>
    <w:p w14:paraId="542A151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、投标方应满足招标方提出的各项技术要求，必要时应当免费提供技术承诺或担保。</w:t>
      </w:r>
    </w:p>
    <w:p w14:paraId="349DFA7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、投标方应保证所供货物（或设备）为中国政府指定或规定的主管部门公布的非淘汰货物（或设备），并尽力提供中国政府指定或规定的主管部门认可的环保型和节能型货物（或设备）。</w:t>
      </w:r>
    </w:p>
    <w:p w14:paraId="6DA1450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、投标方应保证所供货物的完整性和成套性，能保证货物的正常运行、使用。</w:t>
      </w:r>
    </w:p>
    <w:p w14:paraId="5BB670E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、投标方应对招标方采购的货物所涉及的技术、产能等信息负有保密义务，招标方拥有追究投标方泄密责任的权利；招标方如有需要，投标方应无条件签署保密协议。</w:t>
      </w:r>
    </w:p>
    <w:p w14:paraId="1EC475F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8、程序图纸要求</w:t>
      </w:r>
    </w:p>
    <w:p w14:paraId="2A5D826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8.1 供方必须提供所有设备程序的源代码，包括但不限于 PLC程序、HMI 程序、机器人程序、视觉程序、伺服等。</w:t>
      </w:r>
    </w:p>
    <w:p w14:paraId="10E1E90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8.2 供方所提供的程序不得设置任何密码、保护等限制手段，PLC 不得设置修改下载权限，功能块不得设置密码保护。</w:t>
      </w:r>
    </w:p>
    <w:p w14:paraId="62DEB20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8.3 HMI 界面等需要密码保护的程序，供方必须提供所有级别的用户名、密码。</w:t>
      </w:r>
    </w:p>
    <w:p w14:paraId="06A8693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8.4 供方需在设备入场前提供设备程序源码，HMI 界面各级用户名和密码，并保证与现场程序一致。</w:t>
      </w:r>
    </w:p>
    <w:p w14:paraId="05CAF8F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8.5 供方需在终验收前提供最新的设备程序源码和电气图纸，图纸要求为可编辑原格式（EPLAN、CAD 格式）且与实际接线一致。</w:t>
      </w:r>
    </w:p>
    <w:p w14:paraId="473D3CB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9、接口协议要求</w:t>
      </w:r>
    </w:p>
    <w:p w14:paraId="622607A1">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9.1 供方免费开放所有通讯接口，包括但不限于以太网、RS232、RS485、PROFIBUS、PROFINET、MODBUS 等常见接口，以及设备特有的专用接口。</w:t>
      </w:r>
    </w:p>
    <w:p w14:paraId="596898B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9.2 供方免费提供数据交互功能，交互数据包括但不限于实时数据、历史数据、报警信息等。</w:t>
      </w:r>
    </w:p>
    <w:p w14:paraId="24D8F66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9.3 供方在设备入场前提供接口的技术文档和参数说明，包括但不限于接口协议、通讯速率、数据格式等。</w:t>
      </w:r>
    </w:p>
    <w:p w14:paraId="1A6272E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9.4 设备使用周期内，供方免费派遣技术人员与甲方调试团队共同进行设备通讯接口的调试工作。</w:t>
      </w:r>
    </w:p>
    <w:p w14:paraId="27FF5FF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14:paraId="7310665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11、设备颜色符合《Q-ZZ30070设备设施颜色标识》规定，外观无明显缺陷，重新焊接完成后，对焊接位置进行重新刷漆。</w:t>
      </w:r>
    </w:p>
    <w:p w14:paraId="4D49B946">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三、执行标准</w:t>
      </w:r>
    </w:p>
    <w:p w14:paraId="69D98F0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、招标方此处所列标准仅为涉及的主要标准，而且不保证其为最新版执行标准；投标方应当在投标文件中认真予以填写、补充和修改完善。</w:t>
      </w:r>
    </w:p>
    <w:p w14:paraId="6A9F4AC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、投标方需要执行的标准，应当采用所供货物通过招标方组织的最终验收之日已经开始执行的最新标准。</w:t>
      </w:r>
    </w:p>
    <w:p w14:paraId="5D855F4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、采购货物的产品质量、技术标准如在招投标文件中无相应说明，则按中华人民共和国有关部门颁发的最新的国标或专业（部）标准执行及相应的国际标准。</w:t>
      </w:r>
    </w:p>
    <w:p w14:paraId="340F56D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、采购货物没有国家或专业（部）标准的，按企业标准执行时，投标方应在合同签署之前，将所涉及的企业标准提供给招标方确认。</w:t>
      </w:r>
    </w:p>
    <w:p w14:paraId="128E901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、采购货物如果采用国际标准，其执行标准由投标方提供、招标方确认。</w:t>
      </w:r>
    </w:p>
    <w:p w14:paraId="6CD99A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、采购货物所涉及的标准不统一时，原则上按照最严格标准执行。</w:t>
      </w:r>
    </w:p>
    <w:p w14:paraId="013A2D1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、主要适用的标准如下：</w:t>
      </w:r>
    </w:p>
    <w:p w14:paraId="129D1EC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DB37/2376-2019</w:t>
      </w:r>
      <w:r>
        <w:rPr>
          <w:rFonts w:hint="eastAsia" w:ascii="宋体" w:hAnsi="宋体" w:eastAsia="宋体" w:cs="宋体"/>
          <w:sz w:val="24"/>
          <w:szCs w:val="24"/>
          <w:highlight w:val="none"/>
        </w:rPr>
        <w:t>《区域性大气污染物综合排放标准》表</w:t>
      </w:r>
      <w:r>
        <w:rPr>
          <w:rFonts w:ascii="宋体" w:hAnsi="宋体" w:eastAsia="宋体" w:cs="宋体"/>
          <w:sz w:val="24"/>
          <w:szCs w:val="24"/>
          <w:highlight w:val="none"/>
        </w:rPr>
        <w:t>1</w:t>
      </w:r>
      <w:r>
        <w:rPr>
          <w:rFonts w:hint="eastAsia" w:ascii="宋体" w:hAnsi="宋体" w:eastAsia="宋体" w:cs="宋体"/>
          <w:sz w:val="24"/>
          <w:szCs w:val="24"/>
          <w:highlight w:val="none"/>
        </w:rPr>
        <w:t>重点控制区限值要求</w:t>
      </w:r>
    </w:p>
    <w:p w14:paraId="7E744BC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GB12348</w:t>
      </w:r>
      <w:r>
        <w:rPr>
          <w:rFonts w:hint="eastAsia" w:ascii="宋体" w:hAnsi="宋体" w:eastAsia="宋体" w:cs="宋体"/>
          <w:sz w:val="24"/>
          <w:szCs w:val="24"/>
          <w:highlight w:val="none"/>
        </w:rPr>
        <w:t>－</w:t>
      </w:r>
      <w:r>
        <w:rPr>
          <w:rFonts w:ascii="宋体" w:hAnsi="宋体" w:eastAsia="宋体" w:cs="宋体"/>
          <w:sz w:val="24"/>
          <w:szCs w:val="24"/>
          <w:highlight w:val="none"/>
        </w:rPr>
        <w:t xml:space="preserve">2008 </w:t>
      </w:r>
      <w:r>
        <w:rPr>
          <w:rFonts w:hint="eastAsia" w:ascii="宋体" w:hAnsi="宋体" w:eastAsia="宋体" w:cs="宋体"/>
          <w:sz w:val="24"/>
          <w:szCs w:val="24"/>
          <w:highlight w:val="none"/>
        </w:rPr>
        <w:t>《工业企业厂界环境噪声排放标准》中</w:t>
      </w:r>
      <w:r>
        <w:rPr>
          <w:rFonts w:ascii="宋体" w:hAnsi="宋体" w:eastAsia="宋体" w:cs="宋体"/>
          <w:sz w:val="24"/>
          <w:szCs w:val="24"/>
          <w:highlight w:val="none"/>
        </w:rPr>
        <w:t>2</w:t>
      </w:r>
      <w:r>
        <w:rPr>
          <w:rFonts w:hint="eastAsia" w:ascii="宋体" w:hAnsi="宋体" w:eastAsia="宋体" w:cs="宋体"/>
          <w:sz w:val="24"/>
          <w:szCs w:val="24"/>
          <w:highlight w:val="none"/>
        </w:rPr>
        <w:t>类标准</w:t>
      </w:r>
    </w:p>
    <w:p w14:paraId="05C312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GB3095-2012 </w:t>
      </w:r>
      <w:r>
        <w:rPr>
          <w:rFonts w:hint="eastAsia" w:ascii="宋体" w:hAnsi="宋体" w:eastAsia="宋体" w:cs="宋体"/>
          <w:sz w:val="24"/>
          <w:szCs w:val="24"/>
          <w:highlight w:val="none"/>
        </w:rPr>
        <w:t>《环境空气质量标准》二级标准</w:t>
      </w:r>
    </w:p>
    <w:p w14:paraId="0B37FCF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GB/T 18883-2022 </w:t>
      </w:r>
      <w:r>
        <w:rPr>
          <w:rFonts w:hint="eastAsia" w:ascii="宋体" w:hAnsi="宋体" w:eastAsia="宋体" w:cs="宋体"/>
          <w:sz w:val="24"/>
          <w:szCs w:val="24"/>
          <w:highlight w:val="none"/>
        </w:rPr>
        <w:t>《室内空气质量标准》</w:t>
      </w:r>
    </w:p>
    <w:p w14:paraId="1D3A21CB">
      <w:pPr>
        <w:spacing w:line="360" w:lineRule="auto"/>
        <w:ind w:firstLine="480" w:firstLineChars="200"/>
        <w:rPr>
          <w:rFonts w:hint="eastAsia" w:ascii="宋体" w:hAnsi="宋体" w:eastAsia="宋体" w:cs="宋体"/>
          <w:color w:val="FF0000"/>
          <w:sz w:val="24"/>
          <w:szCs w:val="24"/>
          <w:highlight w:val="none"/>
        </w:rPr>
      </w:pPr>
      <w:r>
        <w:rPr>
          <w:rFonts w:ascii="宋体" w:hAnsi="宋体" w:eastAsia="宋体" w:cs="宋体"/>
          <w:sz w:val="24"/>
          <w:szCs w:val="24"/>
          <w:highlight w:val="none"/>
        </w:rPr>
        <w:t xml:space="preserve">JBJ16-2000 </w:t>
      </w:r>
      <w:r>
        <w:rPr>
          <w:rFonts w:hint="eastAsia" w:ascii="宋体" w:hAnsi="宋体" w:eastAsia="宋体" w:cs="宋体"/>
          <w:sz w:val="24"/>
          <w:szCs w:val="24"/>
          <w:highlight w:val="none"/>
        </w:rPr>
        <w:t>《机械工业环境保护设计规范》</w:t>
      </w:r>
    </w:p>
    <w:p w14:paraId="7F44F270">
      <w:pPr>
        <w:spacing w:line="360" w:lineRule="auto"/>
        <w:ind w:firstLine="361" w:firstLineChars="150"/>
        <w:rPr>
          <w:rFonts w:hint="eastAsia" w:ascii="宋体" w:hAnsi="宋体" w:eastAsia="宋体" w:cs="宋体"/>
          <w:b/>
          <w:sz w:val="24"/>
          <w:szCs w:val="24"/>
          <w:highlight w:val="none"/>
        </w:rPr>
      </w:pPr>
      <w:r>
        <w:rPr>
          <w:rFonts w:hint="eastAsia" w:ascii="宋体" w:hAnsi="宋体" w:eastAsia="宋体" w:cs="宋体"/>
          <w:b/>
          <w:sz w:val="24"/>
          <w:szCs w:val="24"/>
          <w:highlight w:val="none"/>
        </w:rPr>
        <w:t>四、货物需求一览表</w:t>
      </w:r>
    </w:p>
    <w:tbl>
      <w:tblPr>
        <w:tblStyle w:val="3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82"/>
        <w:gridCol w:w="1000"/>
        <w:gridCol w:w="1700"/>
        <w:gridCol w:w="1257"/>
      </w:tblGrid>
      <w:tr w14:paraId="1CBD4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600645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4782" w:type="dxa"/>
            <w:vAlign w:val="center"/>
          </w:tcPr>
          <w:p w14:paraId="020E743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000" w:type="dxa"/>
            <w:vAlign w:val="center"/>
          </w:tcPr>
          <w:p w14:paraId="66C2F011">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700" w:type="dxa"/>
            <w:vAlign w:val="center"/>
          </w:tcPr>
          <w:p w14:paraId="3B2FC88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1257" w:type="dxa"/>
            <w:vAlign w:val="center"/>
          </w:tcPr>
          <w:p w14:paraId="5FEBDB2C">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6C97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B4EF884">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782" w:type="dxa"/>
            <w:vAlign w:val="center"/>
          </w:tcPr>
          <w:p w14:paraId="52FB0F83">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统帅PRO地板前部后横梁总成手动工装</w:t>
            </w:r>
          </w:p>
        </w:tc>
        <w:tc>
          <w:tcPr>
            <w:tcW w:w="1000" w:type="dxa"/>
            <w:vAlign w:val="center"/>
          </w:tcPr>
          <w:p w14:paraId="2516B5A2">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700" w:type="dxa"/>
            <w:vAlign w:val="center"/>
          </w:tcPr>
          <w:p w14:paraId="09429EAA">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4FB01F8E">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新增</w:t>
            </w:r>
          </w:p>
        </w:tc>
      </w:tr>
      <w:tr w14:paraId="71E91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897E57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782" w:type="dxa"/>
            <w:vAlign w:val="center"/>
          </w:tcPr>
          <w:p w14:paraId="4393580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悍将地板后横梁总成夹具</w:t>
            </w:r>
          </w:p>
        </w:tc>
        <w:tc>
          <w:tcPr>
            <w:tcW w:w="1000" w:type="dxa"/>
            <w:vAlign w:val="center"/>
          </w:tcPr>
          <w:p w14:paraId="78DF9A41">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700" w:type="dxa"/>
            <w:vAlign w:val="center"/>
          </w:tcPr>
          <w:p w14:paraId="2C028B2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6A59DFBD">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改造</w:t>
            </w:r>
          </w:p>
        </w:tc>
      </w:tr>
      <w:tr w14:paraId="229C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065ABC0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782" w:type="dxa"/>
            <w:vAlign w:val="center"/>
          </w:tcPr>
          <w:p w14:paraId="50C28CD2">
            <w:pPr>
              <w:spacing w:line="240" w:lineRule="auto"/>
              <w:jc w:val="center"/>
              <w:rPr>
                <w:rFonts w:hint="default" w:ascii="宋体" w:hAnsi="宋体" w:eastAsia="宋体" w:cs="宋体"/>
                <w:bCs/>
                <w:sz w:val="24"/>
                <w:szCs w:val="24"/>
                <w:highlight w:val="none"/>
                <w:lang w:val="en-US" w:eastAsia="zh-CN"/>
              </w:rPr>
            </w:pPr>
            <w:r>
              <w:rPr>
                <w:rFonts w:hint="eastAsia" w:ascii="宋体" w:hAnsi="宋体" w:eastAsia="宋体" w:cs="宋体"/>
                <w:sz w:val="24"/>
                <w:szCs w:val="24"/>
                <w:highlight w:val="none"/>
                <w:lang w:val="en-US" w:eastAsia="zh-CN"/>
              </w:rPr>
              <w:t>地板骨架工位适应性改造及防错识别</w:t>
            </w:r>
          </w:p>
        </w:tc>
        <w:tc>
          <w:tcPr>
            <w:tcW w:w="1000" w:type="dxa"/>
            <w:vAlign w:val="center"/>
          </w:tcPr>
          <w:p w14:paraId="5FE7B12E">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700" w:type="dxa"/>
            <w:vAlign w:val="center"/>
          </w:tcPr>
          <w:p w14:paraId="43103B2C">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6FC0B9B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改造</w:t>
            </w:r>
          </w:p>
        </w:tc>
      </w:tr>
      <w:tr w14:paraId="0D945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F173C9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p>
        </w:tc>
        <w:tc>
          <w:tcPr>
            <w:tcW w:w="4782" w:type="dxa"/>
            <w:vAlign w:val="center"/>
          </w:tcPr>
          <w:p w14:paraId="66330409">
            <w:pPr>
              <w:spacing w:line="240" w:lineRule="auto"/>
              <w:jc w:val="center"/>
              <w:rPr>
                <w:rFonts w:hint="eastAsia" w:ascii="宋体" w:hAnsi="宋体" w:eastAsia="宋体" w:cs="宋体"/>
                <w:bCs/>
                <w:sz w:val="24"/>
                <w:szCs w:val="24"/>
                <w:highlight w:val="none"/>
                <w:lang w:val="en-US" w:eastAsia="zh-CN"/>
              </w:rPr>
            </w:pPr>
            <w:r>
              <w:rPr>
                <w:rFonts w:hint="eastAsia" w:ascii="宋体" w:hAnsi="宋体" w:eastAsia="宋体" w:cs="宋体"/>
                <w:sz w:val="24"/>
                <w:szCs w:val="24"/>
                <w:highlight w:val="none"/>
                <w:lang w:val="en-US" w:eastAsia="zh-CN"/>
              </w:rPr>
              <w:t>中地板/前地板工位适应性改造及防错识别</w:t>
            </w:r>
          </w:p>
        </w:tc>
        <w:tc>
          <w:tcPr>
            <w:tcW w:w="1000" w:type="dxa"/>
            <w:vAlign w:val="center"/>
          </w:tcPr>
          <w:p w14:paraId="03BE48C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1宗</w:t>
            </w:r>
          </w:p>
        </w:tc>
        <w:tc>
          <w:tcPr>
            <w:tcW w:w="1700" w:type="dxa"/>
            <w:vAlign w:val="center"/>
          </w:tcPr>
          <w:p w14:paraId="557C932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08CBBE0A">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bl>
    <w:p w14:paraId="42D03345">
      <w:pPr>
        <w:pStyle w:val="133"/>
        <w:numPr>
          <w:ilvl w:val="0"/>
          <w:numId w:val="0"/>
        </w:numPr>
        <w:spacing w:line="360" w:lineRule="auto"/>
        <w:ind w:left="361" w:leftChars="0"/>
        <w:rPr>
          <w:rFonts w:hint="eastAsia" w:ascii="宋体" w:hAnsi="宋体" w:eastAsia="宋体" w:cs="宋体"/>
          <w:b/>
          <w:sz w:val="24"/>
          <w:szCs w:val="24"/>
          <w:highlight w:val="none"/>
        </w:rPr>
      </w:pPr>
      <w:r>
        <w:rPr>
          <w:rFonts w:hint="eastAsia" w:ascii="宋体" w:hAnsi="宋体" w:eastAsia="宋体" w:cs="宋体"/>
          <w:b/>
          <w:sz w:val="24"/>
          <w:szCs w:val="24"/>
          <w:highlight w:val="none"/>
          <w:lang w:val="en-US" w:eastAsia="zh-CN"/>
        </w:rPr>
        <w:t>五、</w:t>
      </w:r>
      <w:r>
        <w:rPr>
          <w:rFonts w:hint="eastAsia" w:ascii="宋体" w:hAnsi="宋体" w:eastAsia="宋体" w:cs="宋体"/>
          <w:b/>
          <w:sz w:val="24"/>
          <w:szCs w:val="24"/>
          <w:highlight w:val="none"/>
        </w:rPr>
        <w:t>技术规范</w:t>
      </w:r>
      <w:bookmarkStart w:id="38" w:name="_Toc9310"/>
    </w:p>
    <w:bookmarkEnd w:id="38"/>
    <w:p w14:paraId="5AF14179">
      <w:pPr>
        <w:spacing w:line="360" w:lineRule="auto"/>
        <w:ind w:firstLine="424" w:firstLineChars="177"/>
        <w:rPr>
          <w:rFonts w:hint="eastAsia" w:ascii="黑体" w:hAnsi="黑体" w:eastAsia="黑体" w:cs="宋体"/>
          <w:sz w:val="24"/>
          <w:szCs w:val="24"/>
          <w:highlight w:val="none"/>
          <w:lang w:val="en-US" w:eastAsia="zh-CN"/>
        </w:rPr>
      </w:pPr>
      <w:r>
        <w:rPr>
          <w:rFonts w:hint="eastAsia" w:ascii="黑体" w:hAnsi="黑体" w:eastAsia="黑体" w:cs="宋体"/>
          <w:sz w:val="24"/>
          <w:szCs w:val="24"/>
          <w:highlight w:val="none"/>
          <w:lang w:val="en-US" w:eastAsia="zh-CN"/>
        </w:rPr>
        <w:t>方案描述</w:t>
      </w:r>
    </w:p>
    <w:p w14:paraId="67F16D1F">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通过手工焊夹具改造、新增及焊装线适应性改造，实现新能源轻卡怀挡车型25款悍将宽体单排/排半及统帅PRO宽体单排/排半共4款驾驶室的生产：</w:t>
      </w:r>
    </w:p>
    <w:p w14:paraId="2C72F2E3">
      <w:pPr>
        <w:spacing w:line="360" w:lineRule="auto"/>
        <w:ind w:firstLine="480" w:firstLineChars="200"/>
        <w:rPr>
          <w:rFonts w:hint="eastAsia" w:ascii="宋体" w:hAnsi="宋体" w:eastAsia="宋体" w:cs="宋体"/>
          <w:bCs w:val="0"/>
          <w:kern w:val="2"/>
          <w:sz w:val="24"/>
          <w:szCs w:val="24"/>
          <w:highlight w:val="none"/>
          <w:lang w:val="en-US" w:eastAsia="zh-CN" w:bidi="ar-SA"/>
        </w:rPr>
      </w:pPr>
      <w:r>
        <w:rPr>
          <w:rFonts w:hint="eastAsia" w:ascii="宋体" w:hAnsi="宋体" w:eastAsia="宋体" w:cs="宋体"/>
          <w:sz w:val="24"/>
          <w:szCs w:val="24"/>
          <w:highlight w:val="none"/>
          <w:lang w:val="en-US" w:eastAsia="zh-CN"/>
        </w:rPr>
        <w:t>①25款悍将，改造地板后横梁总成手工焊夹具，</w:t>
      </w:r>
      <w:r>
        <w:rPr>
          <w:rFonts w:hint="eastAsia" w:ascii="宋体" w:hAnsi="宋体" w:eastAsia="宋体" w:cs="宋体"/>
          <w:bCs w:val="0"/>
          <w:kern w:val="2"/>
          <w:sz w:val="24"/>
          <w:szCs w:val="24"/>
          <w:highlight w:val="none"/>
          <w:lang w:val="en-US" w:eastAsia="zh-CN" w:bidi="ar-SA"/>
        </w:rPr>
        <w:t>原工装兼容怀挡车型；</w:t>
      </w:r>
    </w:p>
    <w:p w14:paraId="3ADBB3B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Cs w:val="0"/>
          <w:kern w:val="2"/>
          <w:sz w:val="24"/>
          <w:szCs w:val="24"/>
          <w:highlight w:val="none"/>
          <w:lang w:val="en-US" w:eastAsia="zh-CN" w:bidi="ar-SA"/>
        </w:rPr>
      </w:pPr>
      <w:r>
        <w:drawing>
          <wp:inline distT="0" distB="0" distL="114300" distR="114300">
            <wp:extent cx="3456305" cy="1296035"/>
            <wp:effectExtent l="0" t="0" r="10795" b="12065"/>
            <wp:docPr id="1" name="图片 6"/>
            <wp:cNvGraphicFramePr/>
            <a:graphic xmlns:a="http://schemas.openxmlformats.org/drawingml/2006/main">
              <a:graphicData uri="http://schemas.openxmlformats.org/drawingml/2006/picture">
                <pic:pic xmlns:pic="http://schemas.openxmlformats.org/drawingml/2006/picture">
                  <pic:nvPicPr>
                    <pic:cNvPr id="1" name="图片 6"/>
                    <pic:cNvPicPr/>
                  </pic:nvPicPr>
                  <pic:blipFill>
                    <a:blip r:embed="rId24"/>
                    <a:stretch>
                      <a:fillRect/>
                    </a:stretch>
                  </pic:blipFill>
                  <pic:spPr>
                    <a:xfrm>
                      <a:off x="0" y="0"/>
                      <a:ext cx="3456305" cy="1296035"/>
                    </a:xfrm>
                    <a:prstGeom prst="rect">
                      <a:avLst/>
                    </a:prstGeom>
                    <a:noFill/>
                    <a:ln>
                      <a:noFill/>
                    </a:ln>
                  </pic:spPr>
                </pic:pic>
              </a:graphicData>
            </a:graphic>
          </wp:inline>
        </w:drawing>
      </w:r>
    </w:p>
    <w:p w14:paraId="73E76AAB">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②统帅PRO，新增地板前部后横梁总成手工焊夹具，原工装无改造兼容空间；</w:t>
      </w:r>
    </w:p>
    <w:p w14:paraId="4578904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highlight w:val="none"/>
          <w:lang w:val="en-US" w:eastAsia="zh-CN"/>
        </w:rPr>
      </w:pPr>
      <w:r>
        <w:drawing>
          <wp:inline distT="0" distB="0" distL="114300" distR="114300">
            <wp:extent cx="3456305" cy="1656080"/>
            <wp:effectExtent l="0" t="0" r="10795" b="7620"/>
            <wp:docPr id="3" name="图片 4"/>
            <wp:cNvGraphicFramePr/>
            <a:graphic xmlns:a="http://schemas.openxmlformats.org/drawingml/2006/main">
              <a:graphicData uri="http://schemas.openxmlformats.org/drawingml/2006/picture">
                <pic:pic xmlns:pic="http://schemas.openxmlformats.org/drawingml/2006/picture">
                  <pic:nvPicPr>
                    <pic:cNvPr id="3" name="图片 4"/>
                    <pic:cNvPicPr/>
                  </pic:nvPicPr>
                  <pic:blipFill>
                    <a:blip r:embed="rId25"/>
                    <a:stretch>
                      <a:fillRect/>
                    </a:stretch>
                  </pic:blipFill>
                  <pic:spPr>
                    <a:xfrm>
                      <a:off x="0" y="0"/>
                      <a:ext cx="3456305" cy="1656080"/>
                    </a:xfrm>
                    <a:prstGeom prst="rect">
                      <a:avLst/>
                    </a:prstGeom>
                    <a:noFill/>
                    <a:ln>
                      <a:noFill/>
                    </a:ln>
                  </pic:spPr>
                </pic:pic>
              </a:graphicData>
            </a:graphic>
          </wp:inline>
        </w:drawing>
      </w:r>
    </w:p>
    <w:p w14:paraId="78956D17">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③自动线体导入4款怀挡车型并进行对应车型调试，满足怀挡车型焊装线生产需求。</w:t>
      </w:r>
    </w:p>
    <w:p w14:paraId="208876A0">
      <w:pPr>
        <w:spacing w:line="360" w:lineRule="auto"/>
        <w:ind w:firstLine="480" w:firstLineChars="200"/>
        <w:jc w:val="left"/>
        <w:rPr>
          <w:rFonts w:hint="eastAsia" w:ascii="宋体" w:hAnsi="宋体" w:eastAsia="宋体" w:cs="宋体"/>
          <w:color w:val="000000"/>
          <w:sz w:val="24"/>
          <w:szCs w:val="24"/>
          <w:highlight w:val="none"/>
        </w:rPr>
      </w:pPr>
      <w:bookmarkStart w:id="39" w:name="_Toc24489"/>
      <w:r>
        <w:rPr>
          <w:rFonts w:hint="eastAsia" w:ascii="黑体" w:hAnsi="黑体" w:eastAsia="黑体" w:cs="宋体"/>
          <w:sz w:val="24"/>
          <w:szCs w:val="24"/>
          <w:highlight w:val="none"/>
        </w:rPr>
        <w:t>总体技术要求</w:t>
      </w:r>
      <w:bookmarkEnd w:id="39"/>
    </w:p>
    <w:p w14:paraId="054819A4">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融入</w:t>
      </w:r>
      <w:r>
        <w:rPr>
          <w:rFonts w:hint="eastAsia" w:ascii="宋体" w:hAnsi="宋体" w:eastAsia="宋体" w:cs="宋体"/>
          <w:color w:val="000000"/>
          <w:sz w:val="24"/>
          <w:szCs w:val="24"/>
          <w:highlight w:val="none"/>
        </w:rPr>
        <w:t>新能源轻卡怀挡车型25款悍将宽体单排/排半及统帅PRO宽体单排/排半共4款驾驶室的生产，车型生产节拍要求≤2.</w:t>
      </w:r>
      <w:r>
        <w:rPr>
          <w:rFonts w:ascii="宋体" w:hAnsi="宋体" w:eastAsia="宋体" w:cs="宋体"/>
          <w:color w:val="000000"/>
          <w:sz w:val="24"/>
          <w:szCs w:val="24"/>
          <w:highlight w:val="none"/>
        </w:rPr>
        <w:t>2</w:t>
      </w:r>
      <w:r>
        <w:rPr>
          <w:rFonts w:hint="eastAsia" w:ascii="宋体" w:hAnsi="宋体" w:eastAsia="宋体" w:cs="宋体"/>
          <w:color w:val="000000"/>
          <w:sz w:val="24"/>
          <w:szCs w:val="24"/>
          <w:highlight w:val="none"/>
        </w:rPr>
        <w:t>min。</w:t>
      </w:r>
      <w:r>
        <w:rPr>
          <w:rFonts w:hint="eastAsia" w:ascii="宋体" w:hAnsi="宋体" w:eastAsia="宋体" w:cs="宋体"/>
          <w:sz w:val="24"/>
          <w:szCs w:val="24"/>
          <w:highlight w:val="none"/>
        </w:rPr>
        <w:t>总成和零件的上线、焊接、生产过程中的运输、存储和机械设备的动作时间等都应当认</w:t>
      </w:r>
      <w:r>
        <w:rPr>
          <w:rFonts w:hint="eastAsia" w:ascii="宋体" w:hAnsi="宋体" w:eastAsia="宋体" w:cs="宋体"/>
          <w:color w:val="000000"/>
          <w:sz w:val="24"/>
          <w:szCs w:val="24"/>
          <w:highlight w:val="none"/>
        </w:rPr>
        <w:t>为是上述生产节拍的一个组成部分。投标方应认识到生产节拍是一项十分重要的技术指标，投标方应以三维仿真模拟来描述和表达生产节拍的实现（三维仿真模拟仅作为生产节拍的一个参考，不作为生产节拍判定的依据）。</w:t>
      </w:r>
    </w:p>
    <w:p w14:paraId="16A1D05A">
      <w:pPr>
        <w:pStyle w:val="133"/>
        <w:tabs>
          <w:tab w:val="left" w:pos="420"/>
        </w:tabs>
        <w:spacing w:line="360" w:lineRule="auto"/>
        <w:ind w:left="0" w:leftChars="0" w:firstLine="480" w:firstLineChars="200"/>
        <w:jc w:val="left"/>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一个完整的节拍包含：启动→工作→工作结束→传输→回位→等待再次启动</w:t>
      </w:r>
      <w:r>
        <w:rPr>
          <w:rFonts w:hint="eastAsia" w:ascii="宋体" w:hAnsi="宋体" w:eastAsia="宋体" w:cs="宋体"/>
          <w:color w:val="000000"/>
          <w:sz w:val="24"/>
          <w:szCs w:val="24"/>
          <w:highlight w:val="none"/>
          <w:lang w:eastAsia="zh-CN"/>
        </w:rPr>
        <w:t>。</w:t>
      </w:r>
    </w:p>
    <w:p w14:paraId="21D713E2">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lang w:eastAsia="zh-CN"/>
        </w:rPr>
      </w:pPr>
      <w:bookmarkStart w:id="40" w:name="_Toc340913564"/>
      <w:r>
        <w:rPr>
          <w:rFonts w:hint="eastAsia" w:ascii="宋体" w:hAnsi="宋体" w:eastAsia="宋体" w:cs="宋体"/>
          <w:sz w:val="24"/>
          <w:szCs w:val="24"/>
          <w:highlight w:val="none"/>
          <w:lang w:val="en-US" w:eastAsia="zh-CN"/>
        </w:rPr>
        <w:t>①</w:t>
      </w:r>
      <w:r>
        <w:rPr>
          <w:rFonts w:hint="eastAsia" w:ascii="宋体" w:hAnsi="宋体" w:eastAsia="宋体" w:cs="宋体"/>
          <w:sz w:val="24"/>
          <w:szCs w:val="24"/>
          <w:highlight w:val="none"/>
        </w:rPr>
        <w:t>驾驶室</w:t>
      </w:r>
      <w:r>
        <w:rPr>
          <w:rFonts w:hint="eastAsia" w:ascii="宋体" w:hAnsi="宋体" w:eastAsia="宋体" w:cs="宋体"/>
          <w:color w:val="000000"/>
          <w:sz w:val="24"/>
          <w:szCs w:val="24"/>
          <w:highlight w:val="none"/>
        </w:rPr>
        <w:t>尺寸标准：全尺寸合格率</w:t>
      </w:r>
      <w:r>
        <w:rPr>
          <w:rFonts w:hint="eastAsia" w:ascii="宋体" w:hAnsi="宋体" w:eastAsia="宋体" w:cs="宋体"/>
          <w:color w:val="000000"/>
          <w:sz w:val="24"/>
          <w:szCs w:val="24"/>
          <w:highlight w:val="none"/>
          <w:lang w:val="en-US" w:eastAsia="zh-CN"/>
        </w:rPr>
        <w:t>88</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1.5mm</w:t>
      </w:r>
      <w:r>
        <w:rPr>
          <w:rFonts w:hint="eastAsia" w:ascii="宋体" w:hAnsi="宋体" w:eastAsia="宋体" w:cs="宋体"/>
          <w:color w:val="000000"/>
          <w:sz w:val="24"/>
          <w:szCs w:val="24"/>
          <w:highlight w:val="none"/>
        </w:rPr>
        <w:t>）</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tblGrid>
      <w:tr w14:paraId="59CC5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90" w:type="dxa"/>
            <w:gridSpan w:val="2"/>
            <w:vAlign w:val="top"/>
          </w:tcPr>
          <w:p w14:paraId="260D8C48">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白车身全尺寸合格率（±1.5mm）</w:t>
            </w:r>
          </w:p>
        </w:tc>
      </w:tr>
      <w:tr w14:paraId="1EB5F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14:paraId="50847BF4">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第一阶段</w:t>
            </w:r>
          </w:p>
        </w:tc>
        <w:tc>
          <w:tcPr>
            <w:tcW w:w="3095" w:type="dxa"/>
          </w:tcPr>
          <w:p w14:paraId="3122E42D">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70%</w:t>
            </w:r>
          </w:p>
        </w:tc>
      </w:tr>
      <w:tr w14:paraId="191E0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14:paraId="607C06F1">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量产阶段</w:t>
            </w:r>
          </w:p>
        </w:tc>
        <w:tc>
          <w:tcPr>
            <w:tcW w:w="3095" w:type="dxa"/>
          </w:tcPr>
          <w:p w14:paraId="5CED1E85">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88%</w:t>
            </w:r>
          </w:p>
        </w:tc>
      </w:tr>
      <w:bookmarkEnd w:id="40"/>
    </w:tbl>
    <w:p w14:paraId="643F5678">
      <w:pPr>
        <w:pStyle w:val="133"/>
        <w:widowControl/>
        <w:spacing w:line="360" w:lineRule="auto"/>
        <w:ind w:firstLine="480" w:firstLineChars="200"/>
        <w:contextualSpacing/>
        <w:jc w:val="both"/>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②</w:t>
      </w:r>
      <w:r>
        <w:rPr>
          <w:rFonts w:hint="eastAsia" w:ascii="宋体" w:hAnsi="宋体" w:eastAsia="宋体" w:cs="宋体"/>
          <w:color w:val="000000"/>
          <w:sz w:val="24"/>
          <w:szCs w:val="24"/>
          <w:highlight w:val="none"/>
        </w:rPr>
        <w:t>焊接质量标准</w:t>
      </w:r>
    </w:p>
    <w:tbl>
      <w:tblPr>
        <w:tblStyle w:val="38"/>
        <w:tblW w:w="9147"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1387"/>
        <w:gridCol w:w="6661"/>
      </w:tblGrid>
      <w:tr w14:paraId="4D0DD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099" w:type="dxa"/>
            <w:vAlign w:val="center"/>
          </w:tcPr>
          <w:p w14:paraId="11382E6F">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标准名称</w:t>
            </w:r>
          </w:p>
        </w:tc>
        <w:tc>
          <w:tcPr>
            <w:tcW w:w="1387" w:type="dxa"/>
            <w:vAlign w:val="center"/>
          </w:tcPr>
          <w:p w14:paraId="6BECB828">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w:t>
            </w:r>
          </w:p>
        </w:tc>
        <w:tc>
          <w:tcPr>
            <w:tcW w:w="6661" w:type="dxa"/>
            <w:vAlign w:val="center"/>
          </w:tcPr>
          <w:p w14:paraId="2AB139AB">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备注</w:t>
            </w:r>
          </w:p>
        </w:tc>
      </w:tr>
      <w:tr w14:paraId="5FDE4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99" w:type="dxa"/>
            <w:vAlign w:val="center"/>
          </w:tcPr>
          <w:p w14:paraId="47EF0DC0">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点焊质量</w:t>
            </w:r>
          </w:p>
        </w:tc>
        <w:tc>
          <w:tcPr>
            <w:tcW w:w="1387" w:type="dxa"/>
            <w:vAlign w:val="center"/>
          </w:tcPr>
          <w:p w14:paraId="4836CB4D">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Q/ZZ</w:t>
            </w:r>
            <w:r>
              <w:rPr>
                <w:rFonts w:hint="eastAsia" w:ascii="宋体" w:hAnsi="宋体" w:eastAsia="宋体" w:cs="宋体"/>
                <w:color w:val="000000"/>
                <w:sz w:val="22"/>
                <w:szCs w:val="22"/>
                <w:highlight w:val="none"/>
                <w:lang w:val="en-US" w:eastAsia="zh-CN"/>
              </w:rPr>
              <w:t xml:space="preserve"> </w:t>
            </w:r>
            <w:r>
              <w:rPr>
                <w:rFonts w:hint="eastAsia" w:ascii="宋体" w:hAnsi="宋体" w:eastAsia="宋体" w:cs="宋体"/>
                <w:color w:val="000000"/>
                <w:sz w:val="22"/>
                <w:szCs w:val="22"/>
                <w:highlight w:val="none"/>
              </w:rPr>
              <w:t>30025点焊技术条件</w:t>
            </w:r>
          </w:p>
        </w:tc>
        <w:tc>
          <w:tcPr>
            <w:tcW w:w="6661" w:type="dxa"/>
          </w:tcPr>
          <w:p w14:paraId="4AACB96F">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标准中焊点数量及位置要求与数模文件冲突时，以数模文件为准；凡招标方数模中焊点未明确的，由投标方提出</w:t>
            </w:r>
            <w:r>
              <w:rPr>
                <w:rFonts w:hint="eastAsia" w:ascii="宋体" w:hAnsi="宋体" w:eastAsia="宋体" w:cs="宋体"/>
                <w:color w:val="000000"/>
                <w:sz w:val="22"/>
                <w:szCs w:val="22"/>
                <w:highlight w:val="none"/>
                <w:lang w:val="en-US" w:eastAsia="zh-CN"/>
              </w:rPr>
              <w:t>数量和间距等差异，</w:t>
            </w:r>
            <w:r>
              <w:rPr>
                <w:rFonts w:hint="eastAsia" w:ascii="宋体" w:hAnsi="宋体" w:eastAsia="宋体" w:cs="宋体"/>
                <w:color w:val="000000"/>
                <w:sz w:val="22"/>
                <w:szCs w:val="22"/>
                <w:highlight w:val="none"/>
              </w:rPr>
              <w:t>招标方确认，涉及到自动焊接的需在开标前提出，招标方给予明确。</w:t>
            </w:r>
          </w:p>
        </w:tc>
      </w:tr>
    </w:tbl>
    <w:p w14:paraId="2F0CC499">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未作规定的与产品质量有关联的工装公差由投标方提出经招标方认可后执行。产品线改造后现有</w:t>
      </w:r>
      <w:r>
        <w:rPr>
          <w:rFonts w:hint="eastAsia" w:ascii="宋体" w:hAnsi="宋体" w:eastAsia="宋体" w:cs="宋体"/>
          <w:color w:val="000000"/>
          <w:sz w:val="24"/>
          <w:szCs w:val="24"/>
          <w:highlight w:val="none"/>
          <w:lang w:val="en-US" w:eastAsia="zh-CN"/>
        </w:rPr>
        <w:t>驾驶室</w:t>
      </w:r>
      <w:r>
        <w:rPr>
          <w:rFonts w:hint="eastAsia" w:ascii="宋体" w:hAnsi="宋体" w:eastAsia="宋体" w:cs="宋体"/>
          <w:color w:val="000000"/>
          <w:sz w:val="24"/>
          <w:szCs w:val="24"/>
          <w:highlight w:val="none"/>
        </w:rPr>
        <w:t>各项质量标准不得低于改造前的状态。</w:t>
      </w:r>
    </w:p>
    <w:p w14:paraId="29790D58">
      <w:pPr>
        <w:pStyle w:val="133"/>
        <w:numPr>
          <w:ilvl w:val="0"/>
          <w:numId w:val="0"/>
        </w:numPr>
        <w:spacing w:line="360" w:lineRule="auto"/>
        <w:ind w:left="480" w:leftChars="0"/>
        <w:jc w:val="left"/>
        <w:rPr>
          <w:rFonts w:hint="eastAsia" w:ascii="宋体" w:hAnsi="宋体" w:eastAsia="宋体" w:cs="宋体"/>
          <w:b/>
          <w:bCs/>
          <w:color w:val="000000"/>
          <w:sz w:val="24"/>
          <w:szCs w:val="24"/>
          <w:highlight w:val="none"/>
        </w:rPr>
      </w:pPr>
      <w:bookmarkStart w:id="41" w:name="_Toc7543492"/>
      <w:r>
        <w:rPr>
          <w:rFonts w:hint="eastAsia" w:ascii="宋体" w:hAnsi="宋体" w:eastAsia="宋体" w:cs="宋体"/>
          <w:b/>
          <w:bCs/>
          <w:color w:val="000000"/>
          <w:sz w:val="24"/>
          <w:szCs w:val="24"/>
          <w:highlight w:val="none"/>
        </w:rPr>
        <w:t>夹具设计要求</w:t>
      </w:r>
      <w:bookmarkEnd w:id="41"/>
    </w:p>
    <w:p w14:paraId="2FBFA5E5">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夹具应满足产品结构、工艺和生产纲领的要求，夹具应有合理的定位夹紧机构和支撑装置，保证组件定位可靠，焊接质量稳定。</w:t>
      </w:r>
    </w:p>
    <w:p w14:paraId="06D706C5">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定位基准应以产品图GD＆T为基础，并保证前后工序夹具定位系统基准统一。为更有效地保证产品定位稳定，根据实际情况可以增加相应的定位机构，但必须经招标方认可。原则上不允许使用螺母孔及异性孔作为定位孔，定位孔选择应与模具定位孔统一，如存在问题，投标方应提前反馈，否则由投标方承担相应责任。</w:t>
      </w:r>
    </w:p>
    <w:p w14:paraId="06BB8DD8">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设计应充分考虑操作方便和安全可靠、维护修理方便，应保证人工焊接、装卸工件方便，使焊接件处于最佳焊接位置，夹具设计在保证工艺要求和刚度的情况下结构应简单合理。所有需要进行人工上件的夹具应具备防错装、漏装产品件的功能。</w:t>
      </w:r>
    </w:p>
    <w:p w14:paraId="7442DCE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定位销采用可拆卸结构。焊装夹具所有定位销、支撑块、垫块、夹紧块、挡块，均为可调（调整量为5mm，现场调试完成后垫片厚度不得超过5mm）</w:t>
      </w:r>
      <w:r>
        <w:rPr>
          <w:rFonts w:hint="eastAsia" w:ascii="宋体" w:hAnsi="宋体" w:eastAsia="宋体" w:cs="宋体"/>
          <w:sz w:val="24"/>
          <w:szCs w:val="24"/>
          <w:highlight w:val="none"/>
          <w:lang w:eastAsia="zh-CN"/>
        </w:rPr>
        <w:t>。</w:t>
      </w:r>
    </w:p>
    <w:p w14:paraId="544D292A">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drawing>
          <wp:anchor distT="0" distB="0" distL="114300" distR="114300" simplePos="0" relativeHeight="251663360" behindDoc="0" locked="0" layoutInCell="1" allowOverlap="1">
            <wp:simplePos x="0" y="0"/>
            <wp:positionH relativeFrom="column">
              <wp:posOffset>394970</wp:posOffset>
            </wp:positionH>
            <wp:positionV relativeFrom="paragraph">
              <wp:posOffset>1548130</wp:posOffset>
            </wp:positionV>
            <wp:extent cx="4963160" cy="3281680"/>
            <wp:effectExtent l="0" t="0" r="8890" b="13970"/>
            <wp:wrapTopAndBottom/>
            <wp:docPr id="41" name="图片 23" descr="16423980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3" descr="1642398083(1)"/>
                    <pic:cNvPicPr>
                      <a:picLocks noChangeAspect="1"/>
                    </pic:cNvPicPr>
                  </pic:nvPicPr>
                  <pic:blipFill>
                    <a:blip r:embed="rId26"/>
                    <a:stretch>
                      <a:fillRect/>
                    </a:stretch>
                  </pic:blipFill>
                  <pic:spPr>
                    <a:xfrm>
                      <a:off x="0" y="0"/>
                      <a:ext cx="4963160" cy="3281680"/>
                    </a:xfrm>
                    <a:prstGeom prst="rect">
                      <a:avLst/>
                    </a:prstGeom>
                    <a:noFill/>
                    <a:ln>
                      <a:noFill/>
                    </a:ln>
                  </pic:spPr>
                </pic:pic>
              </a:graphicData>
            </a:graphic>
          </wp:anchor>
        </w:drawing>
      </w:r>
      <w:r>
        <w:rPr>
          <w:rFonts w:hint="eastAsia" w:ascii="宋体" w:hAnsi="宋体" w:eastAsia="宋体" w:cs="宋体"/>
          <w:sz w:val="24"/>
          <w:szCs w:val="24"/>
          <w:highlight w:val="none"/>
        </w:rPr>
        <w:t>定位销首推沉孔安装，其固定方法采用增加台阶平面，用台阶平面止转方式（如下图1）。原则上定位销尾端禁止使用外螺纹形式，如空间狭小必须使用时，从后面用螺母固定（如下图2），不允许定位销直接用螺母与连接块连接（如下图3）。当定位销与车身坐标系之间有一定角度（大于5º时）、定位销不垂直于底板、定位孔不可见或者为了方便上件/取件时，设计为伸缩销。</w:t>
      </w:r>
    </w:p>
    <w:p w14:paraId="44A6C897">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线夹紧、传输等过程不允许对产品外观面造成磕碰划伤等外观问题。焊装夹具设计时应考虑汽车覆盖件的外表面有防止出现焊点压痕的保护措施，保护板的材料选用CuCrZr(铬锆铜),其有效板厚10～12mm，外覆盖件的支撑采用聚氨酯套覆盖（邵氏硬度60-80）。</w:t>
      </w:r>
    </w:p>
    <w:p w14:paraId="1B9E65AF">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夹具的涂色要求：按照《Q/ZZ30070-2020设备设施颜色标识》标准执行。</w:t>
      </w:r>
    </w:p>
    <w:p w14:paraId="1B8AE62A">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夹具底座板应涂防飞溅漆、防锈漆，底座板上平面应加工有基准线和基准孔。</w:t>
      </w:r>
    </w:p>
    <w:p w14:paraId="049FC566">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焊接夹具的气管应该配置在夹具平台的上面或侧面，禁止在平台的底面配管。气管要有铝制标识，外漏气管进行防护。</w:t>
      </w:r>
    </w:p>
    <w:p w14:paraId="4FA5ABF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图纸图面应符合招标方要求，夹具总图应有详细的夹具零件清单（或单独编制）、气动原理图、电控原理图、夹具安装图和三维图纸（电子版CatiaV5R20）等，夹具设计图必须完整、正确。二维图纸应有三个方向的坐标线（间距为100mm），夹具设计图应反映出各定位尺寸、升降装置位置、尺寸和支撑面型面尺寸。夹具设计图纸制图采用中国制图标准或ISO制图标准，文字采用中文简化字；规格和单位采用中国工业标准或ISO国际标准。</w:t>
      </w:r>
    </w:p>
    <w:p w14:paraId="53F00264">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焊装夹具上应安装标牌，在标牌上应标有总成件名称和编号、夹具尺寸和重量、夹具名称和编号、制造厂名和制造日期，语言为中文，编号规则由招标方提供。</w:t>
      </w:r>
    </w:p>
    <w:p w14:paraId="0A03949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夹具材料选用标准</w:t>
      </w:r>
    </w:p>
    <w:tbl>
      <w:tblPr>
        <w:tblStyle w:val="38"/>
        <w:tblW w:w="91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9"/>
        <w:gridCol w:w="2115"/>
        <w:gridCol w:w="1738"/>
        <w:gridCol w:w="1300"/>
        <w:gridCol w:w="3402"/>
      </w:tblGrid>
      <w:tr w14:paraId="0EFCD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AA53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AD26">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部件</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A68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材料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top"/>
          </w:tcPr>
          <w:p w14:paraId="4AB9B0CD">
            <w:pPr>
              <w:keepNext w:val="0"/>
              <w:keepLines w:val="0"/>
              <w:widowControl/>
              <w:suppressLineNumbers w:val="0"/>
              <w:jc w:val="center"/>
              <w:textAlignment w:val="top"/>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硬度</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31F67">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14:paraId="17615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787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272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362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E2B18">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0CB1">
            <w:pPr>
              <w:jc w:val="center"/>
              <w:rPr>
                <w:rFonts w:hint="eastAsia" w:ascii="宋体" w:hAnsi="宋体" w:eastAsia="宋体" w:cs="宋体"/>
                <w:i w:val="0"/>
                <w:iCs w:val="0"/>
                <w:color w:val="000000"/>
                <w:sz w:val="24"/>
                <w:szCs w:val="24"/>
                <w:highlight w:val="none"/>
                <w:u w:val="none"/>
              </w:rPr>
            </w:pPr>
          </w:p>
        </w:tc>
      </w:tr>
      <w:tr w14:paraId="3351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932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17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2E4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45#钢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8EDFE">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F2FA8">
            <w:pPr>
              <w:jc w:val="center"/>
              <w:rPr>
                <w:rFonts w:hint="eastAsia" w:ascii="宋体" w:hAnsi="宋体" w:eastAsia="宋体" w:cs="宋体"/>
                <w:i w:val="0"/>
                <w:iCs w:val="0"/>
                <w:color w:val="000000"/>
                <w:sz w:val="24"/>
                <w:szCs w:val="24"/>
                <w:highlight w:val="none"/>
                <w:u w:val="none"/>
              </w:rPr>
            </w:pPr>
          </w:p>
        </w:tc>
      </w:tr>
      <w:tr w14:paraId="6A97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2AD2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D8D9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定位块、支撑块</w:t>
            </w:r>
          </w:p>
        </w:tc>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624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D8F8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HRC45-50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7D2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局部淬火处理，发黑，位置度±0.2mm，并做倒角处理</w:t>
            </w:r>
          </w:p>
        </w:tc>
      </w:tr>
      <w:tr w14:paraId="618A4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6E28">
            <w:pPr>
              <w:jc w:val="center"/>
              <w:rPr>
                <w:rFonts w:hint="eastAsia" w:ascii="宋体" w:hAnsi="宋体" w:eastAsia="宋体" w:cs="宋体"/>
                <w:i w:val="0"/>
                <w:iCs w:val="0"/>
                <w:color w:val="000000"/>
                <w:sz w:val="24"/>
                <w:szCs w:val="24"/>
                <w:highlight w:val="none"/>
                <w:u w:val="none"/>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D57D3">
            <w:pPr>
              <w:jc w:val="center"/>
              <w:rPr>
                <w:rFonts w:hint="eastAsia" w:ascii="宋体" w:hAnsi="宋体" w:eastAsia="宋体" w:cs="宋体"/>
                <w:i w:val="0"/>
                <w:iCs w:val="0"/>
                <w:color w:val="000000"/>
                <w:sz w:val="24"/>
                <w:szCs w:val="24"/>
                <w:highlight w:val="none"/>
                <w:u w:val="none"/>
              </w:rPr>
            </w:pPr>
          </w:p>
        </w:tc>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AA9E4F">
            <w:pPr>
              <w:jc w:val="center"/>
              <w:rPr>
                <w:rFonts w:hint="eastAsia" w:ascii="宋体" w:hAnsi="宋体" w:eastAsia="宋体" w:cs="宋体"/>
                <w:i w:val="0"/>
                <w:iCs w:val="0"/>
                <w:color w:val="000000"/>
                <w:sz w:val="24"/>
                <w:szCs w:val="24"/>
                <w:highlight w:val="none"/>
                <w:u w:val="none"/>
              </w:rPr>
            </w:pPr>
          </w:p>
        </w:tc>
        <w:tc>
          <w:tcPr>
            <w:tcW w:w="13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9AB09">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6E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外覆盖件的支撑需额外采用聚氨酯套（厚度2mm）覆盖</w:t>
            </w:r>
          </w:p>
        </w:tc>
      </w:tr>
      <w:tr w14:paraId="20FDC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71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4A7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连接臂</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CD1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2BB18">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9F472">
            <w:pPr>
              <w:jc w:val="center"/>
              <w:rPr>
                <w:rFonts w:hint="eastAsia" w:ascii="宋体" w:hAnsi="宋体" w:eastAsia="宋体" w:cs="宋体"/>
                <w:i w:val="0"/>
                <w:iCs w:val="0"/>
                <w:color w:val="000000"/>
                <w:sz w:val="24"/>
                <w:szCs w:val="24"/>
                <w:highlight w:val="none"/>
                <w:u w:val="none"/>
              </w:rPr>
            </w:pPr>
          </w:p>
        </w:tc>
      </w:tr>
      <w:tr w14:paraId="0A5C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FB1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D7E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限位块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85C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20Cr</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62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 58-62</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C9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渗碳淬火深度：0.8-1.2mm，表面防锈处理</w:t>
            </w:r>
          </w:p>
        </w:tc>
      </w:tr>
      <w:tr w14:paraId="6A6DC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241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9F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41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583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HRC55-60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F92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表面防锈处理</w:t>
            </w:r>
          </w:p>
        </w:tc>
      </w:tr>
      <w:tr w14:paraId="14C4F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2C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C0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螺柱焊定位导套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48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不锈钢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0CAE">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EAB28">
            <w:pPr>
              <w:jc w:val="center"/>
              <w:rPr>
                <w:rFonts w:hint="eastAsia" w:ascii="宋体" w:hAnsi="宋体" w:eastAsia="宋体" w:cs="宋体"/>
                <w:i w:val="0"/>
                <w:iCs w:val="0"/>
                <w:color w:val="000000"/>
                <w:sz w:val="24"/>
                <w:szCs w:val="24"/>
                <w:highlight w:val="none"/>
                <w:u w:val="none"/>
              </w:rPr>
            </w:pPr>
          </w:p>
        </w:tc>
      </w:tr>
      <w:tr w14:paraId="01CE6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FA1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15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弧焊附近的定位销、压紧块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39C32">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CuCr1Zr</w:t>
            </w:r>
          </w:p>
          <w:p w14:paraId="257AB7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(铬锆铜)</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BB97F">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9BD1">
            <w:pPr>
              <w:jc w:val="center"/>
              <w:rPr>
                <w:rFonts w:hint="eastAsia" w:ascii="宋体" w:hAnsi="宋体" w:eastAsia="宋体" w:cs="宋体"/>
                <w:i w:val="0"/>
                <w:iCs w:val="0"/>
                <w:color w:val="000000"/>
                <w:sz w:val="24"/>
                <w:szCs w:val="24"/>
                <w:highlight w:val="none"/>
                <w:u w:val="none"/>
              </w:rPr>
            </w:pPr>
          </w:p>
        </w:tc>
      </w:tr>
      <w:tr w14:paraId="21675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63B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46A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焊枪导向块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B9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MC尼龙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8874">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16458">
            <w:pPr>
              <w:jc w:val="center"/>
              <w:rPr>
                <w:rFonts w:hint="eastAsia" w:ascii="宋体" w:hAnsi="宋体" w:eastAsia="宋体" w:cs="宋体"/>
                <w:i w:val="0"/>
                <w:iCs w:val="0"/>
                <w:color w:val="000000"/>
                <w:sz w:val="22"/>
                <w:szCs w:val="22"/>
                <w:highlight w:val="none"/>
                <w:u w:val="none"/>
              </w:rPr>
            </w:pPr>
          </w:p>
        </w:tc>
      </w:tr>
    </w:tbl>
    <w:p w14:paraId="67DCDBFD">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夹具精度要求</w:t>
      </w:r>
    </w:p>
    <w:tbl>
      <w:tblPr>
        <w:tblStyle w:val="38"/>
        <w:tblW w:w="78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9"/>
        <w:gridCol w:w="3762"/>
        <w:gridCol w:w="2100"/>
        <w:gridCol w:w="1388"/>
      </w:tblGrid>
      <w:tr w14:paraId="52A52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CFF1F">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429F">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219EA">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精度要求</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16D56">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14:paraId="1C083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4B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335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BASE板平面度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829F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≤0.1/1000mm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7528">
            <w:pPr>
              <w:jc w:val="center"/>
              <w:rPr>
                <w:rFonts w:hint="eastAsia" w:ascii="宋体" w:hAnsi="宋体" w:eastAsia="宋体" w:cs="宋体"/>
                <w:i w:val="0"/>
                <w:iCs w:val="0"/>
                <w:color w:val="000000"/>
                <w:sz w:val="24"/>
                <w:szCs w:val="24"/>
                <w:highlight w:val="none"/>
                <w:u w:val="none"/>
              </w:rPr>
            </w:pPr>
          </w:p>
        </w:tc>
      </w:tr>
      <w:tr w14:paraId="58F9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8DB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EA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主基准面形状公差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1A9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EC99E">
            <w:pPr>
              <w:jc w:val="left"/>
              <w:rPr>
                <w:rFonts w:hint="eastAsia" w:ascii="宋体" w:hAnsi="宋体" w:eastAsia="宋体" w:cs="宋体"/>
                <w:i w:val="0"/>
                <w:iCs w:val="0"/>
                <w:color w:val="000000"/>
                <w:sz w:val="24"/>
                <w:szCs w:val="24"/>
                <w:highlight w:val="none"/>
                <w:u w:val="none"/>
              </w:rPr>
            </w:pPr>
          </w:p>
        </w:tc>
      </w:tr>
      <w:tr w14:paraId="5D45C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A7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93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687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BDB3">
            <w:pPr>
              <w:jc w:val="center"/>
              <w:rPr>
                <w:rFonts w:hint="eastAsia" w:ascii="宋体" w:hAnsi="宋体" w:eastAsia="宋体" w:cs="宋体"/>
                <w:i w:val="0"/>
                <w:iCs w:val="0"/>
                <w:color w:val="000000"/>
                <w:sz w:val="24"/>
                <w:szCs w:val="24"/>
                <w:highlight w:val="none"/>
                <w:u w:val="none"/>
              </w:rPr>
            </w:pPr>
          </w:p>
        </w:tc>
      </w:tr>
      <w:tr w14:paraId="540EA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3B4A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8E3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BASE基准孔与基准面的加工精度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3E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+0.00～-0.05mm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1723">
            <w:pPr>
              <w:jc w:val="left"/>
              <w:rPr>
                <w:rFonts w:hint="eastAsia" w:ascii="宋体" w:hAnsi="宋体" w:eastAsia="宋体" w:cs="宋体"/>
                <w:i w:val="0"/>
                <w:iCs w:val="0"/>
                <w:color w:val="000000"/>
                <w:sz w:val="24"/>
                <w:szCs w:val="24"/>
                <w:highlight w:val="none"/>
                <w:u w:val="none"/>
              </w:rPr>
            </w:pPr>
          </w:p>
        </w:tc>
      </w:tr>
      <w:tr w14:paraId="1585F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AF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17E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19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B735C">
            <w:pPr>
              <w:jc w:val="center"/>
              <w:rPr>
                <w:rFonts w:hint="eastAsia" w:ascii="宋体" w:hAnsi="宋体" w:eastAsia="宋体" w:cs="宋体"/>
                <w:i w:val="0"/>
                <w:iCs w:val="0"/>
                <w:color w:val="000000"/>
                <w:sz w:val="24"/>
                <w:szCs w:val="24"/>
                <w:highlight w:val="none"/>
                <w:u w:val="none"/>
              </w:rPr>
            </w:pPr>
          </w:p>
        </w:tc>
      </w:tr>
      <w:tr w14:paraId="59858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BC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C2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支撑面工作方向的位置公差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78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AFA3">
            <w:pPr>
              <w:jc w:val="left"/>
              <w:rPr>
                <w:rFonts w:hint="eastAsia" w:ascii="宋体" w:hAnsi="宋体" w:eastAsia="宋体" w:cs="宋体"/>
                <w:i w:val="0"/>
                <w:iCs w:val="0"/>
                <w:color w:val="000000"/>
                <w:sz w:val="24"/>
                <w:szCs w:val="24"/>
                <w:highlight w:val="none"/>
                <w:u w:val="none"/>
              </w:rPr>
            </w:pPr>
          </w:p>
        </w:tc>
      </w:tr>
      <w:tr w14:paraId="281DC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50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3A9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定位销的伸出有效长度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F3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D6F0C">
            <w:pPr>
              <w:rPr>
                <w:rFonts w:hint="eastAsia" w:ascii="宋体" w:hAnsi="宋体" w:eastAsia="宋体" w:cs="宋体"/>
                <w:i w:val="0"/>
                <w:iCs w:val="0"/>
                <w:color w:val="000000"/>
                <w:sz w:val="22"/>
                <w:szCs w:val="22"/>
                <w:highlight w:val="none"/>
                <w:u w:val="none"/>
              </w:rPr>
            </w:pPr>
          </w:p>
        </w:tc>
      </w:tr>
    </w:tbl>
    <w:p w14:paraId="19F05D42">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线体内应留出足够的空间，以保证工装能够使用关节臂三坐标测量机一次性测量完毕（现有的关节臂测量范围直径3600mm）。</w:t>
      </w:r>
    </w:p>
    <w:p w14:paraId="64945C18">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总拼工位和侧围BASE板厚度不得低于30mm，其他BASE板厚度不得低于25mm；BASE板下部H钢厚度≥14mm，H钢布置中心距≤600mm；焊接焊段长度≥50mm，焊段间距≤100mm。以上为基础标准原则，投标方应在充分保障产品质量和工装使用寿命的前提下以不低于基础标准的前提下进行设计。</w:t>
      </w:r>
    </w:p>
    <w:p w14:paraId="36A0FED3">
      <w:pPr>
        <w:pStyle w:val="59"/>
        <w:widowControl/>
        <w:numPr>
          <w:ilvl w:val="0"/>
          <w:numId w:val="29"/>
        </w:numPr>
        <w:spacing w:line="360" w:lineRule="auto"/>
        <w:ind w:left="357" w:firstLine="480"/>
        <w:contextualSpacing/>
        <w:rPr>
          <w:rFonts w:hint="eastAsia" w:ascii="宋体" w:hAnsi="宋体" w:eastAsia="宋体" w:cs="宋体"/>
          <w:color w:val="000000"/>
          <w:sz w:val="24"/>
          <w:szCs w:val="24"/>
          <w:highlight w:val="none"/>
        </w:rPr>
      </w:pPr>
      <w:r>
        <w:rPr>
          <w:rFonts w:hint="eastAsia" w:ascii="宋体" w:hAnsi="宋体" w:eastAsia="宋体" w:cs="宋体"/>
          <w:sz w:val="24"/>
          <w:szCs w:val="24"/>
          <w:highlight w:val="none"/>
        </w:rPr>
        <w:t>工装BASE板上应加工出合适的三坐标测量基准孔，该基准应同时适用或分别适用固定式和关节臂式三坐标测量设备。为了便于测量，夹具基准孔在平台上的位置不应与其它装置干涉，夹具基准孔的位置、数量3处以上，间距1200mm以内，具体位置、数量在图纸会签时确定。基准孔坐标要求打码在基准孔附近，并对基准孔使用防护盖进行防护。</w:t>
      </w:r>
      <w:r>
        <w:rPr>
          <w:rFonts w:hint="eastAsia" w:ascii="宋体" w:hAnsi="宋体" w:eastAsia="宋体" w:cs="宋体"/>
          <w:color w:val="000000"/>
          <w:sz w:val="24"/>
          <w:szCs w:val="24"/>
          <w:highlight w:val="none"/>
        </w:rPr>
        <w:t>夹具基准孔的直径以及公差为Ф10mmH7</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夹具基准孔间的相对位置公差±0.02mm</w:t>
      </w:r>
      <w:r>
        <w:rPr>
          <w:rFonts w:hint="eastAsia" w:ascii="宋体" w:hAnsi="宋体" w:eastAsia="宋体" w:cs="宋体"/>
          <w:color w:val="000000"/>
          <w:sz w:val="24"/>
          <w:szCs w:val="24"/>
          <w:highlight w:val="none"/>
          <w:lang w:eastAsia="zh-CN"/>
        </w:rPr>
        <w:t>。</w:t>
      </w:r>
    </w:p>
    <w:p w14:paraId="5E525E03">
      <w:pPr>
        <w:ind w:left="420"/>
        <w:jc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1720850" cy="1238250"/>
            <wp:effectExtent l="0" t="0" r="1270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27"/>
                    <a:stretch>
                      <a:fillRect/>
                    </a:stretch>
                  </pic:blipFill>
                  <pic:spPr>
                    <a:xfrm>
                      <a:off x="0" y="0"/>
                      <a:ext cx="1720850" cy="1238250"/>
                    </a:xfrm>
                    <a:prstGeom prst="rect">
                      <a:avLst/>
                    </a:prstGeom>
                    <a:noFill/>
                    <a:ln>
                      <a:noFill/>
                    </a:ln>
                  </pic:spPr>
                </pic:pic>
              </a:graphicData>
            </a:graphic>
          </wp:inline>
        </w:drawing>
      </w:r>
    </w:p>
    <w:p w14:paraId="32B80B70">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在夹具基准孔的旁边打上夹具基准孔的位置标记</w:t>
      </w:r>
      <w:r>
        <w:rPr>
          <w:rFonts w:hint="eastAsia" w:ascii="宋体" w:hAnsi="宋体" w:eastAsia="宋体" w:cs="宋体"/>
          <w:sz w:val="24"/>
          <w:szCs w:val="24"/>
          <w:highlight w:val="none"/>
          <w:lang w:val="en-US" w:eastAsia="zh-CN"/>
        </w:rPr>
        <w:t>如下图所示。</w:t>
      </w:r>
    </w:p>
    <w:p w14:paraId="72DCE36A">
      <w:pPr>
        <w:ind w:firstLine="3000" w:firstLineChars="125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2282825" cy="970915"/>
            <wp:effectExtent l="0" t="0" r="3175" b="63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28"/>
                    <a:stretch>
                      <a:fillRect/>
                    </a:stretch>
                  </pic:blipFill>
                  <pic:spPr>
                    <a:xfrm>
                      <a:off x="0" y="0"/>
                      <a:ext cx="2282825" cy="970915"/>
                    </a:xfrm>
                    <a:prstGeom prst="rect">
                      <a:avLst/>
                    </a:prstGeom>
                    <a:noFill/>
                    <a:ln>
                      <a:noFill/>
                    </a:ln>
                  </pic:spPr>
                </pic:pic>
              </a:graphicData>
            </a:graphic>
          </wp:inline>
        </w:drawing>
      </w:r>
    </w:p>
    <w:p w14:paraId="3649AF8D">
      <w:pPr>
        <w:ind w:firstLine="3000" w:firstLineChars="1250"/>
        <w:rPr>
          <w:rFonts w:hint="eastAsia" w:ascii="宋体" w:hAnsi="宋体" w:eastAsia="宋体" w:cs="宋体"/>
          <w:kern w:val="0"/>
          <w:sz w:val="24"/>
          <w:szCs w:val="24"/>
          <w:highlight w:val="none"/>
        </w:rPr>
      </w:pPr>
    </w:p>
    <w:p w14:paraId="31EC49F1">
      <w:pPr>
        <w:pStyle w:val="59"/>
        <w:widowControl/>
        <w:numPr>
          <w:ilvl w:val="0"/>
          <w:numId w:val="29"/>
        </w:numPr>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夹具外漏的线缆（水电气）需要使用耐火材料进行包覆或者走线缆桥架，所有接近开关使用专用防护套进行保护，并提供防护套型号。</w:t>
      </w:r>
    </w:p>
    <w:p w14:paraId="22374E4C">
      <w:pPr>
        <w:pStyle w:val="133"/>
        <w:numPr>
          <w:ilvl w:val="0"/>
          <w:numId w:val="0"/>
        </w:numPr>
        <w:spacing w:line="360" w:lineRule="auto"/>
        <w:ind w:left="480" w:leftChars="0"/>
        <w:jc w:val="left"/>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技术资料</w:t>
      </w:r>
    </w:p>
    <w:p w14:paraId="6E34F0BA">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投标方须在项目不同阶段向招标方提供项目资料，各阶段需提供资料如下表所示：</w:t>
      </w:r>
    </w:p>
    <w:tbl>
      <w:tblPr>
        <w:tblStyle w:val="38"/>
        <w:tblW w:w="9303"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5"/>
        <w:gridCol w:w="3435"/>
        <w:gridCol w:w="1100"/>
        <w:gridCol w:w="1888"/>
        <w:gridCol w:w="2325"/>
      </w:tblGrid>
      <w:tr w14:paraId="1B6C3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BA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序号</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DFC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资料名称</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3D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设计审查</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DD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终验收</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092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备注</w:t>
            </w:r>
          </w:p>
        </w:tc>
      </w:tr>
      <w:tr w14:paraId="3427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5A4C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4A2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焊接生产线详细平面布局图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9A1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751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CE6BC">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315F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E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9661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焊接生产线水电气布置图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377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9FC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69B4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D14E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744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630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设备安装基础图（地基图）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E91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219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7F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C01B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E5A2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2D68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焊枪位置图（挂枪图）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37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D38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969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ADBA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3D8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DD1B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焊接生产线人员分布图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61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9FD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E4A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F7D6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8A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BA6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水电气能耗表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3C5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52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A5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F5E6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1AE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EBB7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工艺设备清单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76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049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286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C551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E7D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87C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生产线人员配置表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D0C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757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19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FDF5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9E3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4328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焊枪式样图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128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6014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0AE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2F44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74E2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619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夹具方案书（含 3D 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64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B5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91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8149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96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E1BF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工位焊点信息图（3D）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18C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D61A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F8B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4A5A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CA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148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范例程序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F53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7A1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19D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78EB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A6F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4C3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焊接工艺卡片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F141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669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6B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CABE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AF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E957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工位节拍明细（时序图）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B7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F05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406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CA42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64F5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D50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易损件及备件明细、图纸（含夹具）</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34D07">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E9D8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D65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3D74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1F4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06B2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标准件手册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7A2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AC3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3B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F4FB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0D9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7B9A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各专项设备操作使用手册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4F2C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4E8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E08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513E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877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1830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检查维修手册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A46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7F8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ACD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EAB0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A58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27A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电气原理图（含逻辑电路图）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6CA7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FF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1DE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6118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F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0C6F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气路原理图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DA1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613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5947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4F3A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E5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0A90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传动系统图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EAC54">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C3A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516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EA71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C6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0B02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电气接线图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54BB4">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5E6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00C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92B0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11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FCC5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标准程序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726D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172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719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20DC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303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4F3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PC 机梯形图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8DCBE">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D1A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B73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42EC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D9E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3DB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外购件明细表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7F8E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86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6A0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5FE7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3FC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CFFC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设备编程手册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0C36E">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63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7E5C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B5DB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FA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96A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系统软件</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AA4F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53A7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242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4FE8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184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D5F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夹具检测报告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684F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80A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77C1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C5AA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BFB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FDB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各设备检验合格证</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5C02">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B256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AD3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FD1C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CD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ED0E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定位销及定位面硬度报告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10E3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63F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F218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7164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F559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4C1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最终版仿真数据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2AD8">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11B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072F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0722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20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354F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机器人离线程序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18B4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F0B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BB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4885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877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3F6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B9985">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61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E9D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885F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8E8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D7B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夹具CATIA可编辑格式和2D图DWG</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E061">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C84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EE3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2F78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D83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D472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备品、备件清单、图纸（2D+3D）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9FDE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509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BE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3A25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E2A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446A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所有定位销图纸资料(2D CAD和3D)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D369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42DC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07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2246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55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D74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电气元件汇总表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464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BF7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F38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DD12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F51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AB97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元器件样本、图册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1213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FF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910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784C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B5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7CD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润滑油类型及材料属性资料</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F47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3ED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2F0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49E1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FD76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CB01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11408">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ED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A43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5EA7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95C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C99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工艺参数调试记录单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70E47">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A48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16E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bl>
    <w:p w14:paraId="717BA7F9">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注：</w:t>
      </w:r>
    </w:p>
    <w:p w14:paraId="3B89AEC4">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投标方应在项目各阶段，按照招标方要求的格式和内容提供相应文件。</w:t>
      </w:r>
    </w:p>
    <w:p w14:paraId="7F7112CF">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根据验收要求，在设备有改动时，投标方要提供更新的技术文件。</w:t>
      </w:r>
    </w:p>
    <w:p w14:paraId="5B531C1B">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所有文件都要配备中文。</w:t>
      </w:r>
    </w:p>
    <w:p w14:paraId="70893227">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为保证现场验收满足招标方的要求，投标方应提交所有其提供设备的有关文件，由另一家公司提供的文件必须提交原件，不允许提供复印件，投标方丢失的任何文件必须免费补上。</w:t>
      </w:r>
    </w:p>
    <w:p w14:paraId="6CDC62F1">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图纸交付文件格式：CATIA V5R20（可编辑）、AUTOCAD2008、PDF格式。</w:t>
      </w:r>
    </w:p>
    <w:p w14:paraId="3122A85A">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终验收时提交的电子文档应包含设计审查和预验收阶段提交的文件。</w:t>
      </w:r>
    </w:p>
    <w:p w14:paraId="37295091">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项目各阶段所需的电子资料以U盘形式提交。</w:t>
      </w:r>
    </w:p>
    <w:p w14:paraId="2B110014">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投标方采购的设备，相关资料文件由投标方负责收集。</w:t>
      </w:r>
    </w:p>
    <w:p w14:paraId="36E52A22">
      <w:pPr>
        <w:widowControl/>
        <w:jc w:val="left"/>
        <w:rPr>
          <w:rFonts w:hint="eastAsia" w:ascii="宋体" w:hAnsi="宋体" w:eastAsia="等线" w:cs="Times New Roman"/>
          <w:b/>
          <w:sz w:val="28"/>
          <w:szCs w:val="24"/>
          <w:highlight w:val="none"/>
          <w:lang w:val="en-GB"/>
        </w:rPr>
      </w:pPr>
      <w:r>
        <w:rPr>
          <w:rFonts w:ascii="宋体" w:hAnsi="宋体" w:eastAsia="等线" w:cs="Times New Roman"/>
          <w:b/>
          <w:sz w:val="28"/>
          <w:szCs w:val="24"/>
          <w:highlight w:val="none"/>
          <w:lang w:val="en-GB"/>
        </w:rPr>
        <w:br w:type="page"/>
      </w:r>
    </w:p>
    <w:p w14:paraId="5C938E74">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2" w:name="_Toc2566"/>
      <w:bookmarkStart w:id="43" w:name="_Toc15157"/>
      <w:r>
        <w:rPr>
          <w:rFonts w:hint="eastAsia" w:ascii="黑体" w:hAnsi="等线" w:eastAsia="黑体" w:cs="Times New Roman"/>
          <w:kern w:val="44"/>
          <w:sz w:val="28"/>
          <w:szCs w:val="28"/>
          <w:highlight w:val="none"/>
          <w:lang w:val="en-GB"/>
        </w:rPr>
        <w:t>第三章  供货范围及供货方式</w:t>
      </w:r>
      <w:bookmarkEnd w:id="42"/>
      <w:bookmarkEnd w:id="43"/>
    </w:p>
    <w:p w14:paraId="5E569DA9">
      <w:pPr>
        <w:keepNext/>
        <w:keepLines/>
        <w:spacing w:before="120" w:after="120" w:line="360" w:lineRule="auto"/>
        <w:jc w:val="center"/>
        <w:outlineLvl w:val="1"/>
        <w:rPr>
          <w:rFonts w:hint="eastAsia" w:ascii="宋体" w:hAnsi="宋体" w:eastAsia="宋体" w:cs="Times New Roman"/>
          <w:sz w:val="24"/>
          <w:szCs w:val="24"/>
          <w:highlight w:val="none"/>
        </w:rPr>
      </w:pPr>
      <w:bookmarkStart w:id="44" w:name="_Toc9658381"/>
      <w:r>
        <w:rPr>
          <w:rFonts w:hint="eastAsia" w:ascii="宋体" w:hAnsi="宋体" w:eastAsia="宋体" w:cs="Times New Roman"/>
          <w:sz w:val="24"/>
          <w:szCs w:val="24"/>
          <w:highlight w:val="none"/>
        </w:rPr>
        <w:t>第一节</w:t>
      </w:r>
      <w:r>
        <w:rPr>
          <w:rFonts w:ascii="宋体" w:hAnsi="宋体" w:eastAsia="宋体" w:cs="Times New Roman"/>
          <w:sz w:val="24"/>
          <w:szCs w:val="24"/>
          <w:highlight w:val="none"/>
        </w:rPr>
        <w:t xml:space="preserve">  </w:t>
      </w:r>
      <w:r>
        <w:rPr>
          <w:rFonts w:hint="eastAsia" w:ascii="宋体" w:hAnsi="宋体" w:eastAsia="宋体" w:cs="Times New Roman"/>
          <w:sz w:val="24"/>
          <w:szCs w:val="24"/>
          <w:highlight w:val="none"/>
        </w:rPr>
        <w:t>供货范围</w:t>
      </w:r>
      <w:bookmarkEnd w:id="44"/>
    </w:p>
    <w:p w14:paraId="45C43B1D">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一、供货范围</w:t>
      </w:r>
    </w:p>
    <w:p w14:paraId="4AB29B33">
      <w:pPr>
        <w:spacing w:line="360" w:lineRule="auto"/>
        <w:ind w:firstLine="241" w:firstLineChars="100"/>
        <w:rPr>
          <w:rFonts w:hint="eastAsia" w:ascii="宋体" w:hAnsi="宋体" w:eastAsia="宋体" w:cs="宋体"/>
          <w:b/>
          <w:sz w:val="24"/>
          <w:szCs w:val="24"/>
          <w:highlight w:val="none"/>
        </w:rPr>
      </w:pPr>
      <w:r>
        <w:rPr>
          <w:rFonts w:hint="eastAsia" w:ascii="宋体" w:hAnsi="宋体" w:eastAsia="宋体" w:cs="宋体"/>
          <w:b/>
          <w:sz w:val="24"/>
          <w:szCs w:val="24"/>
          <w:highlight w:val="none"/>
        </w:rPr>
        <w:t>（一）一般界定</w:t>
      </w:r>
    </w:p>
    <w:p w14:paraId="3EDCC1B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、包括本技术标书所列明的主要货物及货物正常运行所必需的全套连线设备、材料等，如货物端联接法兰外端面之内的、电气系统接口压线板（插座等）之内的设备、材料、联接螺栓、垫片等。</w:t>
      </w:r>
    </w:p>
    <w:p w14:paraId="28E92F0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、包括为保证货物正常安装、调试和验收完成及以前所必需的整套配件、附件及材料、油料、控制软件及程序或指令等。</w:t>
      </w:r>
    </w:p>
    <w:p w14:paraId="430AA89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如果终验收完成后，投标方有需要收回的配件、附件、材料、油料等，应当在投标文件的技术偏离条款中，予以详细说明；否则视同包括在供货范围之内。</w:t>
      </w:r>
    </w:p>
    <w:p w14:paraId="239E96A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、包括货物维护维修所必需的专用工具。</w:t>
      </w:r>
    </w:p>
    <w:p w14:paraId="6E2C773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43C198F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包括为保证货物自身正常运行所必需的、满足使用地点环境条件的通风、冷却、降温等必需设施。</w:t>
      </w:r>
    </w:p>
    <w:p w14:paraId="7D910AC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如投标方难以提供或无优势提供以及属于选用配置的，则应当在投标文件的技术偏离条款中，予以详细说明并注明投标报价未包含该部分的货值。</w:t>
      </w:r>
    </w:p>
    <w:p w14:paraId="154FB1F3">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（二）供货范围边界界定</w:t>
      </w:r>
    </w:p>
    <w:p w14:paraId="7A49546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、招标方提供货物所需的建筑物（如厂房等）和构筑物（如混凝土池、砼基础等），包含正常安装施工所需的预埋件（如穿管、预埋螺栓、螺母及垫片）。</w:t>
      </w:r>
    </w:p>
    <w:p w14:paraId="7B109E0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招标方提供符合本技术标书中“采购货物概况”和“使用环境”章节所列明品质的电力、自来水、压缩空气、蒸汽、天然气（或煤气）管线至系统接口，如：系统电力接口的接线端，水、气、汽等外围管线端联接法兰外端面。</w:t>
      </w:r>
    </w:p>
    <w:p w14:paraId="4F6378E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如果投标方认为能源系统接口地点以及操控地点之间的货物数量不清或难以界定，应当以书面方式询标或以单价方式报价；否则视同满足招标方要求。</w:t>
      </w:r>
    </w:p>
    <w:p w14:paraId="184E8D0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、对于招标文件中无明确具体要求而投标方认为必须具备的其它货物，投标方必须将该部分货物单独报价（该报价含运杂费及税费等其它费用，而且不再作为其它报价涉及的其它费用的计算基数）。</w:t>
      </w:r>
    </w:p>
    <w:p w14:paraId="2BA0E6B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、以“交钥匙”方式采购的货物，在满足技术标书本节上述要求之外，同时包括货物正常运行、使用所需要的过桥、护栏、防护网、盖板等辅助设施。</w:t>
      </w:r>
    </w:p>
    <w:p w14:paraId="359D7F4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二、备品备件、易损件和专用耗材供货范围</w:t>
      </w:r>
    </w:p>
    <w:p w14:paraId="74F1F43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、备品备件、易损件和专用耗材是招标方为保证货物质保期之后正常运行一年所自备自用的备品备件、易损件和专用耗材。</w:t>
      </w:r>
    </w:p>
    <w:p w14:paraId="52072CC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质保期之内正常需要的备品备件、易损件和专用耗材全部包括在供货范围之内而不属于本条款界定的范围（应有明细）。</w:t>
      </w:r>
    </w:p>
    <w:p w14:paraId="6EBCA40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、供货范围包括易损件和专用耗材的制造图纸及其技术要求等资料，如涉及专有技术或无法提供，应在投标文件中予以澄清或说明。</w:t>
      </w:r>
    </w:p>
    <w:p w14:paraId="053366F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三、技术资料供货范围</w:t>
      </w:r>
    </w:p>
    <w:p w14:paraId="4FC67F0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技术资料供货范围包括：</w:t>
      </w:r>
    </w:p>
    <w:p w14:paraId="768E7A83">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、在合同签订后</w:t>
      </w:r>
      <w:r>
        <w:rPr>
          <w:rFonts w:ascii="宋体" w:hAnsi="宋体" w:eastAsia="宋体" w:cs="宋体"/>
          <w:sz w:val="24"/>
          <w:szCs w:val="24"/>
          <w:highlight w:val="none"/>
          <w:u w:val="single"/>
          <w:shd w:val="pct10" w:color="auto" w:fill="FFFFFF"/>
        </w:rPr>
        <w:t xml:space="preserve">30 </w:t>
      </w:r>
      <w:r>
        <w:rPr>
          <w:rFonts w:hint="eastAsia" w:ascii="宋体" w:hAnsi="宋体" w:eastAsia="宋体" w:cs="宋体"/>
          <w:sz w:val="24"/>
          <w:szCs w:val="24"/>
          <w:highlight w:val="none"/>
        </w:rPr>
        <w:t>个日历日内，提供货物基础及相关的设计、制作所需的纸质及电子版资料；电子版文件应当能够使用常用版本软件可以阅读甚至使用，进口货物、设备应有中外文对照。</w:t>
      </w:r>
    </w:p>
    <w:p w14:paraId="2C85CF3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、在预验收前，提供货物各部分的功能描述文件、图片、影像等资料（进口、设备应有中外文对照）。</w:t>
      </w:r>
    </w:p>
    <w:p w14:paraId="0155DC5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、在终验收前，提供为保证货物后续正常运行所需的工装、吊（挂）具明细及其图纸、具体技术要求等资料（如果供货范围包含该部分实物）。</w:t>
      </w:r>
    </w:p>
    <w:p w14:paraId="46C1D8A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、在终验收前，提供确定的维修所需要且招标方可以自行采购的外购件、外协件、电气元件及主要原材料的供货厂家明细表。</w:t>
      </w:r>
    </w:p>
    <w:p w14:paraId="1B19FA4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、在终验收后、终验收后的第一笔货款支付日之前，提供包括货物的备品备件、易损件和专用耗材的图纸及技术参数、技术要求等资料。</w:t>
      </w:r>
    </w:p>
    <w:p w14:paraId="6128628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FB243B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56F336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、本条款所列的技术资料、图片、影像等，投标方应各提供</w:t>
      </w:r>
      <w:r>
        <w:rPr>
          <w:rFonts w:ascii="宋体" w:hAnsi="宋体" w:eastAsia="宋体" w:cs="宋体"/>
          <w:sz w:val="24"/>
          <w:szCs w:val="24"/>
          <w:highlight w:val="none"/>
        </w:rPr>
        <w:t>5</w:t>
      </w:r>
      <w:r>
        <w:rPr>
          <w:rFonts w:hint="eastAsia" w:ascii="宋体" w:hAnsi="宋体" w:eastAsia="宋体" w:cs="宋体"/>
          <w:sz w:val="24"/>
          <w:szCs w:val="24"/>
          <w:highlight w:val="none"/>
        </w:rPr>
        <w:t>套，其中</w:t>
      </w:r>
      <w:r>
        <w:rPr>
          <w:rFonts w:ascii="宋体" w:hAnsi="宋体" w:eastAsia="宋体" w:cs="宋体"/>
          <w:sz w:val="24"/>
          <w:szCs w:val="24"/>
          <w:highlight w:val="none"/>
        </w:rPr>
        <w:t>2</w:t>
      </w:r>
      <w:r>
        <w:rPr>
          <w:rFonts w:hint="eastAsia" w:ascii="宋体" w:hAnsi="宋体" w:eastAsia="宋体" w:cs="宋体"/>
          <w:sz w:val="24"/>
          <w:szCs w:val="24"/>
          <w:highlight w:val="none"/>
        </w:rPr>
        <w:t>套为电子版光（软）盘；每份技术文件应装有目录清单。</w:t>
      </w:r>
    </w:p>
    <w:p w14:paraId="0A2023E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、本条款所列要求，如招标方认为投标方提供的资料不能满足要求时，有权要求投标方免费补充或增加。</w:t>
      </w:r>
    </w:p>
    <w:p w14:paraId="7C72C36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四、供货范围特别提示</w:t>
      </w:r>
    </w:p>
    <w:p w14:paraId="0793826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如果投标方认为本节所列的供货范围难以满足，则仍需要按照本要求提供，但该部分货物应当在投标报价中单独列明货物名称及品质、货值。</w:t>
      </w:r>
    </w:p>
    <w:p w14:paraId="76C3EDF8">
      <w:pPr>
        <w:rPr>
          <w:rFonts w:hint="eastAsia" w:ascii="宋体" w:hAnsi="宋体" w:eastAsia="宋体" w:cs="宋体"/>
          <w:sz w:val="24"/>
          <w:szCs w:val="24"/>
          <w:highlight w:val="none"/>
        </w:rPr>
      </w:pPr>
      <w:r>
        <w:rPr>
          <w:rFonts w:ascii="宋体" w:hAnsi="宋体" w:eastAsia="宋体" w:cs="宋体"/>
          <w:sz w:val="24"/>
          <w:szCs w:val="24"/>
          <w:highlight w:val="none"/>
        </w:rPr>
        <w:br w:type="page"/>
      </w:r>
    </w:p>
    <w:p w14:paraId="3D1E47D8">
      <w:pPr>
        <w:keepNext/>
        <w:keepLines/>
        <w:spacing w:before="120" w:after="120" w:line="360" w:lineRule="auto"/>
        <w:jc w:val="center"/>
        <w:outlineLvl w:val="1"/>
        <w:rPr>
          <w:rFonts w:ascii="Arial" w:hAnsi="Arial" w:eastAsia="宋体" w:cs="Times New Roman"/>
          <w:sz w:val="24"/>
          <w:szCs w:val="24"/>
          <w:highlight w:val="none"/>
        </w:rPr>
      </w:pPr>
      <w:bookmarkStart w:id="45" w:name="_Toc9658382"/>
      <w:r>
        <w:rPr>
          <w:rFonts w:hint="eastAsia" w:ascii="Arial" w:hAnsi="Arial" w:eastAsia="宋体" w:cs="Times New Roman"/>
          <w:sz w:val="24"/>
          <w:szCs w:val="24"/>
          <w:highlight w:val="none"/>
        </w:rPr>
        <w:t>第二节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供货方式</w:t>
      </w:r>
      <w:bookmarkEnd w:id="45"/>
    </w:p>
    <w:p w14:paraId="4D8CD3F0">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一、供货方式</w:t>
      </w:r>
    </w:p>
    <w:p w14:paraId="09FB116B">
      <w:pPr>
        <w:spacing w:line="360" w:lineRule="auto"/>
        <w:ind w:firstLine="480" w:firstLineChars="200"/>
        <w:rPr>
          <w:rFonts w:hint="eastAsia" w:ascii="宋体" w:hAnsi="宋体" w:eastAsia="宋体" w:cs="宋体"/>
          <w:b/>
          <w:i/>
          <w:sz w:val="24"/>
          <w:szCs w:val="24"/>
          <w:highlight w:val="none"/>
        </w:rPr>
      </w:pPr>
      <w:r>
        <w:rPr>
          <w:rFonts w:hint="eastAsia" w:ascii="宋体" w:hAnsi="宋体" w:eastAsia="宋体" w:cs="宋体"/>
          <w:sz w:val="24"/>
          <w:szCs w:val="24"/>
          <w:highlight w:val="none"/>
        </w:rPr>
        <w:t>完全交钥匙方式，即本次招标货物至少包括以下货物及服务：非标或特需设计，制造，必要的投标方现场预验收，至交货地点的运输（含定点装卸），安装，调试，招标方安装地竣工验收服务，货物移交，约定培训等全流程范围。</w:t>
      </w:r>
    </w:p>
    <w:p w14:paraId="4406B83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二、供货地点：</w:t>
      </w:r>
      <w:r>
        <w:rPr>
          <w:rFonts w:hint="eastAsia" w:ascii="宋体" w:hAnsi="宋体" w:eastAsia="宋体" w:cs="宋体"/>
          <w:sz w:val="24"/>
          <w:szCs w:val="24"/>
          <w:highlight w:val="none"/>
          <w:lang w:val="en-US" w:eastAsia="zh-CN"/>
        </w:rPr>
        <w:t>济南轻卡制造公司</w:t>
      </w:r>
      <w:r>
        <w:rPr>
          <w:rFonts w:hint="eastAsia" w:ascii="宋体" w:hAnsi="宋体" w:eastAsia="宋体" w:cs="宋体"/>
          <w:sz w:val="24"/>
          <w:szCs w:val="24"/>
          <w:highlight w:val="none"/>
        </w:rPr>
        <w:t>。</w:t>
      </w:r>
    </w:p>
    <w:p w14:paraId="1228ABA9">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三、供货时间</w:t>
      </w:r>
    </w:p>
    <w:p w14:paraId="2C412AFD">
      <w:pPr>
        <w:pStyle w:val="17"/>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14:paraId="6C877621">
      <w:pPr>
        <w:pStyle w:val="17"/>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21</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14:paraId="1457E03F">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26</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14:paraId="49E0EDC0">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14:paraId="7EDCA904">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安装调试时间或终验收时间超过规定时间的，投标方应当随标书提供详细的工期计划。</w:t>
      </w:r>
    </w:p>
    <w:p w14:paraId="3F9FBC7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四、包装</w:t>
      </w:r>
    </w:p>
    <w:p w14:paraId="107A5F6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、所提供货物（或设备）的包装，应遵照国家标准和有关包装、包皮的技术条件，或按照最好的商业惯例进行包装。</w:t>
      </w:r>
    </w:p>
    <w:p w14:paraId="106BFC0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、包装应能满足所需要采取的运输方式（船运、汽运或铁路运输）、多次吊装卸装、卸货以及长期露天堆放要求，应能防止雨淋、受潮、生锈、腐蚀、受振、受磁以及机械和化学因素等引起的损坏。</w:t>
      </w:r>
    </w:p>
    <w:p w14:paraId="09937A3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、所提供货物（或设备）的包装，应能防止其一般性被窃或受外力破坏；一般不得采用有大缝隙的板条包装。</w:t>
      </w:r>
    </w:p>
    <w:p w14:paraId="0BFAFB4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、应对包装件做必要的加固和固定，以防止运输可能造成的损坏。</w:t>
      </w:r>
    </w:p>
    <w:p w14:paraId="0F3E4E4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、每个包装件应有装箱单，并至少标明名称、型号规格、数量、净重和毛重、投标方（或供货商）名称和制造日期等相关内容。</w:t>
      </w:r>
    </w:p>
    <w:p w14:paraId="56BBAE98">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、每个包装箱应有明显标志，并具有中文书写的合同号、装运标志、发货和到货地点名称、发货人和收货人名称、货物名称和项目号、箱号和外型尺寸等内容。</w:t>
      </w:r>
    </w:p>
    <w:p w14:paraId="47E5D5E9">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、应按照不同的装运要求在包装箱上标明“小心轻放”、“箭头向上”、“防潮”、“防磁”、“不准平放”等标志，以及其它适用的国标通用标志。</w:t>
      </w:r>
    </w:p>
    <w:p w14:paraId="5A12DCC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、包装箱应连续编号，不应出现重复编号。</w:t>
      </w:r>
    </w:p>
    <w:p w14:paraId="0E16A60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、在不受到外界破坏情况下，包装应保证自交货日起一年内货物（或设备）完好无损。</w:t>
      </w:r>
    </w:p>
    <w:p w14:paraId="423EEF9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五、运输</w:t>
      </w:r>
    </w:p>
    <w:p w14:paraId="56B8044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、应负责将货物（或设备）运到目的地，并必须做到货物（或设备）在任何运输过程中不受损坏和遗失。</w:t>
      </w:r>
    </w:p>
    <w:p w14:paraId="36630C9D">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、同批货物（或设备）应统一包装、编号运输。</w:t>
      </w:r>
    </w:p>
    <w:p w14:paraId="2D051853">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、一般情况下，经由铁路、公路运输的包装件尺寸和重量不应超过国家所规定的尺寸限制。特殊情况应予以说明。</w:t>
      </w:r>
    </w:p>
    <w:p w14:paraId="166B6B2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、在每批货物（或设备）发出后，应立即通知招标方；通知中应指明：合同号、货运单号、件数、重量和货物（或设备）发出日期等相关内容。</w:t>
      </w:r>
    </w:p>
    <w:p w14:paraId="055E631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、货物（或设备）运抵交货地点后，应负责货物（或设备）的卸货、搬运、保管等事宜；或按照合同约定。</w:t>
      </w:r>
    </w:p>
    <w:p w14:paraId="4110EF32">
      <w:pPr>
        <w:rPr>
          <w:rFonts w:hint="eastAsia" w:ascii="黑体" w:hAnsi="等线" w:eastAsia="黑体" w:cs="Times New Roman"/>
          <w:sz w:val="24"/>
          <w:szCs w:val="24"/>
          <w:highlight w:val="none"/>
        </w:rPr>
      </w:pPr>
      <w:bookmarkStart w:id="46" w:name="_Toc9658383"/>
      <w:r>
        <w:rPr>
          <w:rFonts w:ascii="黑体" w:hAnsi="等线" w:eastAsia="黑体" w:cs="Times New Roman"/>
          <w:sz w:val="24"/>
          <w:szCs w:val="24"/>
          <w:highlight w:val="none"/>
        </w:rPr>
        <w:br w:type="page"/>
      </w:r>
    </w:p>
    <w:p w14:paraId="787BD67A">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7" w:name="_Toc24457"/>
      <w:bookmarkStart w:id="48" w:name="_Toc18023"/>
      <w:r>
        <w:rPr>
          <w:rFonts w:hint="eastAsia" w:ascii="黑体" w:hAnsi="等线" w:eastAsia="黑体" w:cs="Times New Roman"/>
          <w:kern w:val="44"/>
          <w:sz w:val="28"/>
          <w:szCs w:val="28"/>
          <w:highlight w:val="none"/>
          <w:lang w:val="en-GB"/>
        </w:rPr>
        <w:t>第四章  质保期及售后服务</w:t>
      </w:r>
      <w:bookmarkEnd w:id="46"/>
      <w:bookmarkEnd w:id="47"/>
      <w:bookmarkEnd w:id="48"/>
    </w:p>
    <w:p w14:paraId="4F75136C">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一、质保期及质保要求</w:t>
      </w:r>
    </w:p>
    <w:p w14:paraId="689612AF">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、全部供货范围内的设备、材料、零配件和工器具等，除合同特别约定外，其质保期均自终验收签字生效之日起</w:t>
      </w:r>
      <w:r>
        <w:rPr>
          <w:rFonts w:hint="eastAsia" w:ascii="宋体" w:hAnsi="宋体" w:eastAsia="宋体" w:cs="宋体"/>
          <w:sz w:val="24"/>
          <w:szCs w:val="24"/>
          <w:highlight w:val="none"/>
          <w:u w:val="single"/>
          <w:shd w:val="pct10" w:color="auto" w:fill="FFFFFF"/>
          <w:lang w:val="en-US" w:eastAsia="zh-CN"/>
        </w:rPr>
        <w:t xml:space="preserve"> 壹 </w:t>
      </w:r>
      <w:r>
        <w:rPr>
          <w:rFonts w:hint="eastAsia" w:ascii="宋体" w:hAnsi="宋体" w:eastAsia="宋体" w:cs="宋体"/>
          <w:sz w:val="24"/>
          <w:szCs w:val="24"/>
          <w:highlight w:val="none"/>
        </w:rPr>
        <w:t>年。</w:t>
      </w:r>
    </w:p>
    <w:p w14:paraId="6296E4E9">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投标货物或涉及的关键总成和零件，如果有更长时间质保期，允许更改并说明，此将有利于投标方。</w:t>
      </w:r>
    </w:p>
    <w:p w14:paraId="5B840357">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设计使用寿命短于质保期的易损件除外，但属于易损件的，应当有明确说明。</w:t>
      </w:r>
    </w:p>
    <w:p w14:paraId="41E14CC6">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、质保期之内，如果货物出现设备、总成、关键零部件或者多处一般零部件的二次以上的更换或维修行为，则质保期自更换或维修行为结束、货物重新正常运行使用之日起重新计算。</w:t>
      </w:r>
    </w:p>
    <w:p w14:paraId="1936EC76">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、质保期内免费提供零部件和及时有效的服务。质保期内因货物本身缺陷造成的各种故障，投标方应负责免费维修和服务。</w:t>
      </w:r>
    </w:p>
    <w:p w14:paraId="60041222">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、质保期终止之日起一年内重复出现的质保期之内出现的故障，仍属质保范围而且应当免费。</w:t>
      </w:r>
    </w:p>
    <w:p w14:paraId="5E58834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二、技术及培训服务</w:t>
      </w:r>
    </w:p>
    <w:p w14:paraId="1F52A56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、应免费提供一定数量的培训资料。</w:t>
      </w:r>
    </w:p>
    <w:p w14:paraId="69CC44D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、应按要求免费积极协助和提供招标方以及招标方所委托的工程设计单位有关人员所需要的、与货物有关的工程设计资料、技术咨询等。</w:t>
      </w:r>
    </w:p>
    <w:p w14:paraId="2EF1BDF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、若投标方提供货物涉及到外购外协货物、而且该货物的技术质量等较为关键时，投标方应能保证得到配套厂家的技术支持，并免费为招标方提供技术服务。</w:t>
      </w:r>
    </w:p>
    <w:p w14:paraId="2A8DCFC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三、安装调试及验收服务</w:t>
      </w:r>
    </w:p>
    <w:p w14:paraId="40FA776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51D224E5">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、若投标方提供的货物涉及到外购外协货物、而且该货物的技术质量等较为关键时，应保证能得到供应商的技术支持，并免费为招标方提供安装使用现场的指导与培训。</w:t>
      </w:r>
    </w:p>
    <w:p w14:paraId="79CB734D">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6A4AB9F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1229D2D2">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、投标方应当向招标方提供货物试验、验收的有关标准、规范和方法，同时提供货物涉及并使用的软件合法性证明。</w:t>
      </w:r>
    </w:p>
    <w:p w14:paraId="6F582AD8">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、服务缺陷视同货物缺陷和履约延期。</w:t>
      </w:r>
    </w:p>
    <w:p w14:paraId="38D1BDC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四、售后服务</w:t>
      </w:r>
    </w:p>
    <w:p w14:paraId="237EDA0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、投标方提供的货物涉及的所有售后服务均由投标方负责。如果发生问题并且收到通知，投标方应当在</w:t>
      </w:r>
      <w:r>
        <w:rPr>
          <w:rFonts w:ascii="宋体" w:hAnsi="宋体" w:eastAsia="宋体" w:cs="宋体"/>
          <w:sz w:val="24"/>
          <w:szCs w:val="24"/>
          <w:highlight w:val="none"/>
        </w:rPr>
        <w:t>2</w:t>
      </w:r>
      <w:r>
        <w:rPr>
          <w:rFonts w:hint="eastAsia" w:ascii="宋体" w:hAnsi="宋体" w:eastAsia="宋体" w:cs="宋体"/>
          <w:sz w:val="24"/>
          <w:szCs w:val="24"/>
          <w:highlight w:val="none"/>
        </w:rPr>
        <w:t>小时内予以答复。</w:t>
      </w:r>
    </w:p>
    <w:p w14:paraId="018EAB3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、如发现所提供的货物存在问题，需要投标方解决或配合解决时：在质保期之内，应在接到通知后</w:t>
      </w:r>
      <w:r>
        <w:rPr>
          <w:rFonts w:ascii="宋体" w:hAnsi="宋体" w:eastAsia="宋体" w:cs="宋体"/>
          <w:sz w:val="24"/>
          <w:szCs w:val="24"/>
          <w:highlight w:val="none"/>
          <w:u w:val="single"/>
          <w:shd w:val="pct10" w:color="auto" w:fill="FFFFFF"/>
        </w:rPr>
        <w:t xml:space="preserve"> 48 </w:t>
      </w:r>
      <w:r>
        <w:rPr>
          <w:rFonts w:hint="eastAsia" w:ascii="宋体" w:hAnsi="宋体" w:eastAsia="宋体" w:cs="宋体"/>
          <w:sz w:val="24"/>
          <w:szCs w:val="24"/>
          <w:highlight w:val="none"/>
        </w:rPr>
        <w:t>小时内派有关人员到达现场；在质保期之外，应在接到通知后</w:t>
      </w:r>
      <w:r>
        <w:rPr>
          <w:rFonts w:ascii="宋体" w:hAnsi="宋体" w:eastAsia="宋体" w:cs="宋体"/>
          <w:sz w:val="24"/>
          <w:szCs w:val="24"/>
          <w:highlight w:val="none"/>
          <w:u w:val="single"/>
          <w:shd w:val="pct10" w:color="auto" w:fill="FFFFFF"/>
        </w:rPr>
        <w:t xml:space="preserve"> 72 </w:t>
      </w:r>
      <w:r>
        <w:rPr>
          <w:rFonts w:hint="eastAsia" w:ascii="宋体" w:hAnsi="宋体" w:eastAsia="宋体" w:cs="宋体"/>
          <w:sz w:val="24"/>
          <w:szCs w:val="24"/>
          <w:highlight w:val="none"/>
        </w:rPr>
        <w:t>小时内派有关人员到达现场。</w:t>
      </w:r>
    </w:p>
    <w:p w14:paraId="32F9C285">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、投标方派往招标方使用现场的人员，应具有较高的业务素质；现场解决问题时，不得无故拖延或推迟，应为招标方提供最佳的服务。</w:t>
      </w:r>
    </w:p>
    <w:p w14:paraId="4CB03A3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五、其它服务</w:t>
      </w:r>
    </w:p>
    <w:p w14:paraId="6C5190C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、若投标方所提供货物有需要进口的，投标方一般应自行、自费办理；必要时，买卖双方共同办理。</w:t>
      </w:r>
    </w:p>
    <w:p w14:paraId="4EDC3D6E">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、除招标文件、投标文件、答疑文件、技术协议、合同等约定之外，投标方应免费负责必要的或强制性的货物的检验、试验、化验等直接费用。</w:t>
      </w:r>
    </w:p>
    <w:p w14:paraId="34A0BA8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、本章节条款所列“免费”，并非指定不可收费，而是指招标文件、投标文件、答疑文件、技术交流文件、技术协议书和合同等范围之外，投标方不可另行收取的费用。</w:t>
      </w:r>
    </w:p>
    <w:p w14:paraId="5CB50DB0">
      <w:pPr>
        <w:rPr>
          <w:rFonts w:hint="eastAsia" w:ascii="黑体" w:hAnsi="等线" w:eastAsia="黑体" w:cs="Times New Roman"/>
          <w:szCs w:val="24"/>
          <w:highlight w:val="none"/>
        </w:rPr>
      </w:pPr>
      <w:r>
        <w:rPr>
          <w:rFonts w:ascii="黑体" w:hAnsi="等线" w:eastAsia="黑体" w:cs="Times New Roman"/>
          <w:szCs w:val="24"/>
          <w:highlight w:val="none"/>
        </w:rPr>
        <w:br w:type="page"/>
      </w:r>
    </w:p>
    <w:p w14:paraId="272CD536">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9" w:name="_Toc5083"/>
      <w:bookmarkStart w:id="50" w:name="_Toc4160"/>
      <w:r>
        <w:rPr>
          <w:rFonts w:hint="eastAsia" w:ascii="黑体" w:hAnsi="等线" w:eastAsia="黑体" w:cs="Times New Roman"/>
          <w:kern w:val="44"/>
          <w:sz w:val="28"/>
          <w:szCs w:val="28"/>
          <w:highlight w:val="none"/>
          <w:lang w:val="en-GB"/>
        </w:rPr>
        <w:t>第五章  验收</w:t>
      </w:r>
      <w:bookmarkEnd w:id="49"/>
      <w:bookmarkEnd w:id="50"/>
    </w:p>
    <w:p w14:paraId="60FA7F1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一、验收依据和验收标准</w:t>
      </w:r>
    </w:p>
    <w:p w14:paraId="3F4368D3">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、验收标准一般以技术协议书和合同规定验收。无论技术协议书和合同，是否全部并准确列明验收所涉及的相关标准，均作为验收标准之一。</w:t>
      </w:r>
    </w:p>
    <w:p w14:paraId="7EFD8702">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、如果验收过程中，发现招标文件、投标文件、答疑文件、技术交流文件等与技术协议书、合同存在差异，原则上以涉及条款中对招标方最有利条款为验收依据。</w:t>
      </w:r>
    </w:p>
    <w:p w14:paraId="695EC36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二、检验</w:t>
      </w:r>
    </w:p>
    <w:p w14:paraId="275876A4">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如果采购货物涉及必要的或必需的检验，投标方应当在投标文件中明确可能涉及的检验费用，并将该费用包含在投标总报价之内；不作针对性澄清或说明的，视同包含在投标总价之内。基本约定如下：</w:t>
      </w:r>
    </w:p>
    <w:p w14:paraId="2DA4595E">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、国产货物的检验一般由买卖双方共同进行或按照合同要求进行。</w:t>
      </w:r>
    </w:p>
    <w:p w14:paraId="3842B72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、进口货物的检验，投标方需要按照下述要求进行：</w:t>
      </w:r>
    </w:p>
    <w:p w14:paraId="30F9C68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2.1</w:t>
      </w:r>
      <w:r>
        <w:rPr>
          <w:rFonts w:hint="eastAsia" w:ascii="宋体" w:hAnsi="宋体" w:eastAsia="宋体" w:cs="宋体"/>
          <w:sz w:val="24"/>
          <w:szCs w:val="24"/>
          <w:highlight w:val="none"/>
        </w:rPr>
        <w:t>进口货物发货前，应对货物的质量、型号、规格、性能和数量</w:t>
      </w:r>
      <w:r>
        <w:rPr>
          <w:rFonts w:ascii="宋体" w:hAnsi="宋体" w:eastAsia="宋体" w:cs="宋体"/>
          <w:sz w:val="24"/>
          <w:szCs w:val="24"/>
          <w:highlight w:val="none"/>
        </w:rPr>
        <w:t>/</w:t>
      </w:r>
      <w:r>
        <w:rPr>
          <w:rFonts w:hint="eastAsia" w:ascii="宋体" w:hAnsi="宋体" w:eastAsia="宋体" w:cs="宋体"/>
          <w:sz w:val="24"/>
          <w:szCs w:val="24"/>
          <w:highlight w:val="none"/>
        </w:rPr>
        <w:t>重量作精密、全面的检验，并出具证明书，证明所供货物符合合同规定。</w:t>
      </w:r>
    </w:p>
    <w:p w14:paraId="132FE1F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2.2</w:t>
      </w:r>
      <w:r>
        <w:rPr>
          <w:rFonts w:hint="eastAsia" w:ascii="宋体" w:hAnsi="宋体" w:eastAsia="宋体" w:cs="宋体"/>
          <w:sz w:val="24"/>
          <w:szCs w:val="24"/>
          <w:highlight w:val="none"/>
        </w:rPr>
        <w:t>应依据合同规定的要求，提供买卖双方达成一致的货物的验收标准和装箱单，作为招标方检验的依据。</w:t>
      </w:r>
    </w:p>
    <w:p w14:paraId="00C0154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2.3</w:t>
      </w:r>
      <w:r>
        <w:rPr>
          <w:rFonts w:hint="eastAsia" w:ascii="宋体" w:hAnsi="宋体" w:eastAsia="宋体" w:cs="宋体"/>
          <w:sz w:val="24"/>
          <w:szCs w:val="24"/>
          <w:highlight w:val="none"/>
        </w:rPr>
        <w:t>进口货物到达目的地后，招标方有权申请中国商品检验检疫局进行检验，如发现货物的品质及规格与合同或发票不符，除招标方的责任外，招标方有权在货物到达卸货目的地后</w:t>
      </w:r>
      <w:r>
        <w:rPr>
          <w:rFonts w:ascii="宋体" w:hAnsi="宋体" w:eastAsia="宋体" w:cs="宋体"/>
          <w:sz w:val="24"/>
          <w:szCs w:val="24"/>
          <w:highlight w:val="none"/>
        </w:rPr>
        <w:t>180</w:t>
      </w:r>
      <w:r>
        <w:rPr>
          <w:rFonts w:hint="eastAsia" w:ascii="宋体" w:hAnsi="宋体" w:eastAsia="宋体" w:cs="宋体"/>
          <w:sz w:val="24"/>
          <w:szCs w:val="24"/>
          <w:highlight w:val="none"/>
        </w:rPr>
        <w:t>个日历日内，根据中国商品检验检疫局出具的证明书向投标方提出索赔，因索赔所发生的一切费用</w:t>
      </w:r>
      <w:r>
        <w:rPr>
          <w:rFonts w:ascii="宋体" w:hAnsi="宋体" w:eastAsia="宋体" w:cs="宋体"/>
          <w:sz w:val="24"/>
          <w:szCs w:val="24"/>
          <w:highlight w:val="none"/>
        </w:rPr>
        <w:t>(</w:t>
      </w:r>
      <w:r>
        <w:rPr>
          <w:rFonts w:hint="eastAsia" w:ascii="宋体" w:hAnsi="宋体" w:eastAsia="宋体" w:cs="宋体"/>
          <w:sz w:val="24"/>
          <w:szCs w:val="24"/>
          <w:highlight w:val="none"/>
        </w:rPr>
        <w:t>包括检验检疫费等</w:t>
      </w:r>
      <w:r>
        <w:rPr>
          <w:rFonts w:ascii="宋体" w:hAnsi="宋体" w:eastAsia="宋体" w:cs="宋体"/>
          <w:sz w:val="24"/>
          <w:szCs w:val="24"/>
          <w:highlight w:val="none"/>
        </w:rPr>
        <w:t>)</w:t>
      </w:r>
      <w:r>
        <w:rPr>
          <w:rFonts w:hint="eastAsia" w:ascii="宋体" w:hAnsi="宋体" w:eastAsia="宋体" w:cs="宋体"/>
          <w:sz w:val="24"/>
          <w:szCs w:val="24"/>
          <w:highlight w:val="none"/>
        </w:rPr>
        <w:t>均由投标方承担。</w:t>
      </w:r>
    </w:p>
    <w:p w14:paraId="63AF2D4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三、验收条件</w:t>
      </w:r>
    </w:p>
    <w:p w14:paraId="4620795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验收一般分预验收和终验收两部分。终验收在安装调试完成及试运行后的买方现场进行。但是所有的项目，包括不能预验收的项目和预验收通过的项目都在终验收时重新检验，最终只以终验收为准。</w:t>
      </w:r>
    </w:p>
    <w:p w14:paraId="27FC2DA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买卖双方按照合同约定执行了合同，同时货物完成了试运行并经检验合格，则具备验收条件。</w:t>
      </w:r>
    </w:p>
    <w:p w14:paraId="06DD57B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1.预验收</w:t>
      </w:r>
    </w:p>
    <w:p w14:paraId="3AC3C7C7">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1.1预验收一般条件</w:t>
      </w:r>
    </w:p>
    <w:p w14:paraId="4AD697E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1.1.1卖方已经按照“供货范围”要求提供了预验收资料，并且资料齐全、完整和有效。</w:t>
      </w:r>
    </w:p>
    <w:p w14:paraId="548460C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1.1.2货物应完整，外观完整无损伤，货物标牌完整、清晰、明确。</w:t>
      </w:r>
    </w:p>
    <w:p w14:paraId="766C55E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1.1.3货物的安全要求符合中国最新的相关法律、法规、标准和规范以及合同要求。 </w:t>
      </w:r>
    </w:p>
    <w:p w14:paraId="7FE74F3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1.2 预验收内容 </w:t>
      </w:r>
    </w:p>
    <w:p w14:paraId="0DACDB7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1.2.1加工件外观无缺陷、无裂痕，材质无缺陷，坚固实用。</w:t>
      </w:r>
    </w:p>
    <w:p w14:paraId="2D503B3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1.2.2加工件表面无锋利边缘，焊缝无焊接缺陷。</w:t>
      </w:r>
    </w:p>
    <w:p w14:paraId="45F1D52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1.2.3卖方按标书及合同技术协议的货物清单对货物进行清点，按标书及技术协议中的技术指标如设备功能、测量参数、控制参数、精度等对设备及其附件进行检验，达到协议要求且双方签字确认后，预验收完成。</w:t>
      </w:r>
    </w:p>
    <w:p w14:paraId="7824B62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1.2.4</w:t>
      </w:r>
      <w:r>
        <w:rPr>
          <w:rFonts w:hint="eastAsia" w:ascii="宋体" w:hAnsi="宋体" w:eastAsia="宋体" w:cs="宋体"/>
          <w:sz w:val="24"/>
          <w:szCs w:val="24"/>
          <w:highlight w:val="none"/>
          <w:lang w:val="en-US" w:eastAsia="zh-CN"/>
        </w:rPr>
        <w:t>若</w:t>
      </w:r>
      <w:r>
        <w:rPr>
          <w:rFonts w:hint="eastAsia" w:ascii="宋体" w:hAnsi="宋体" w:eastAsia="宋体" w:cs="宋体"/>
          <w:sz w:val="24"/>
          <w:szCs w:val="24"/>
          <w:highlight w:val="none"/>
        </w:rPr>
        <w:t>生产过程中及生产完成后到材料生产地点进行预验收，招投标双方按照合同约定执行了合同并经检验合格，则具备验收条件。</w:t>
      </w:r>
    </w:p>
    <w:p w14:paraId="5868E3E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1.2.5双方参加，检查结构件、货架、托盘加工及处理情况。经招标方确认合格后方可包装、发运。</w:t>
      </w:r>
    </w:p>
    <w:p w14:paraId="26802BF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1.2.6预验收过程中，由于投标方设计或制造等原因而出现的质量问题，招标方有权提出并请投标方返修，然后再次检查直至合格。</w:t>
      </w:r>
    </w:p>
    <w:p w14:paraId="4329ECC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1.2.7预验收合格后，预验收合格的记录不能替代最终验收报告。</w:t>
      </w:r>
    </w:p>
    <w:p w14:paraId="2CE0EE4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2.终验收</w:t>
      </w:r>
    </w:p>
    <w:p w14:paraId="7F4E5F1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2.1终验收一般条件</w:t>
      </w:r>
    </w:p>
    <w:p w14:paraId="265F3F7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w:t>
      </w:r>
      <w:r>
        <w:rPr>
          <w:rFonts w:hint="eastAsia" w:ascii="宋体" w:hAnsi="宋体" w:eastAsia="宋体" w:cs="宋体"/>
          <w:sz w:val="24"/>
          <w:szCs w:val="24"/>
          <w:highlight w:val="none"/>
        </w:rPr>
        <w:t>投标方已经按照“供货范围”要求提供了预验收资料，并且资料齐全、完整和有效。</w:t>
      </w:r>
    </w:p>
    <w:p w14:paraId="458EB69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1.2</w:t>
      </w:r>
      <w:r>
        <w:rPr>
          <w:rFonts w:hint="eastAsia" w:ascii="宋体" w:hAnsi="宋体" w:eastAsia="宋体" w:cs="宋体"/>
          <w:sz w:val="24"/>
          <w:szCs w:val="24"/>
          <w:highlight w:val="none"/>
        </w:rPr>
        <w:t>货物安装调试完毕，并至少经过了验收要求的负荷试运行；投标方提出验收要求后，在连续1个月的生产周期内，设备故障率(因设备故障造成停线时间/总运行时间)在5%以下。</w:t>
      </w:r>
    </w:p>
    <w:p w14:paraId="4698C82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1.3</w:t>
      </w:r>
      <w:r>
        <w:rPr>
          <w:rFonts w:hint="eastAsia" w:ascii="宋体" w:hAnsi="宋体" w:eastAsia="宋体" w:cs="宋体"/>
          <w:sz w:val="24"/>
          <w:szCs w:val="24"/>
          <w:highlight w:val="none"/>
        </w:rPr>
        <w:t>货物应完整且所有的零部件应该安装牢固，外观无损伤，所有的焊缝饱满、无残渣等缺陷。</w:t>
      </w:r>
    </w:p>
    <w:p w14:paraId="2CEF1CD7">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1.4</w:t>
      </w:r>
      <w:r>
        <w:rPr>
          <w:rFonts w:hint="eastAsia" w:ascii="宋体" w:hAnsi="宋体" w:eastAsia="宋体" w:cs="宋体"/>
          <w:sz w:val="24"/>
          <w:szCs w:val="24"/>
          <w:highlight w:val="none"/>
        </w:rPr>
        <w:t>一般情况下，所有的管路和线缆等，接头应完全正确、可靠地联接；应排列有序（正确、牢固、整齐），有必要的防护，无皱褶、收缩和裂缝等不良现象。</w:t>
      </w:r>
    </w:p>
    <w:p w14:paraId="014E4D19">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1.5</w:t>
      </w:r>
      <w:r>
        <w:rPr>
          <w:rFonts w:hint="eastAsia" w:ascii="宋体" w:hAnsi="宋体" w:eastAsia="宋体" w:cs="宋体"/>
          <w:sz w:val="24"/>
          <w:szCs w:val="24"/>
          <w:highlight w:val="none"/>
        </w:rPr>
        <w:t>货物的润滑系统工作正常、可靠，润滑点易于到达。</w:t>
      </w:r>
    </w:p>
    <w:p w14:paraId="2050B71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1.6</w:t>
      </w:r>
      <w:r>
        <w:rPr>
          <w:rFonts w:hint="eastAsia" w:ascii="宋体" w:hAnsi="宋体" w:eastAsia="宋体" w:cs="宋体"/>
          <w:sz w:val="24"/>
          <w:szCs w:val="24"/>
          <w:highlight w:val="none"/>
        </w:rPr>
        <w:t>使用的压力容器、电气等应具备合格证（如果有压力容器）。</w:t>
      </w:r>
    </w:p>
    <w:p w14:paraId="68E5CD1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1.7</w:t>
      </w:r>
      <w:r>
        <w:rPr>
          <w:rFonts w:hint="eastAsia" w:ascii="宋体" w:hAnsi="宋体" w:eastAsia="宋体" w:cs="宋体"/>
          <w:sz w:val="24"/>
          <w:szCs w:val="24"/>
          <w:highlight w:val="none"/>
        </w:rPr>
        <w:t>货物的油漆质量应饱满、有光泽，无掉漆、无色差、无“桔皮”等不良现象（特殊标志除外）。</w:t>
      </w:r>
    </w:p>
    <w:p w14:paraId="6A6A6DE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1.8</w:t>
      </w:r>
      <w:r>
        <w:rPr>
          <w:rFonts w:hint="eastAsia" w:ascii="宋体" w:hAnsi="宋体" w:eastAsia="宋体" w:cs="宋体"/>
          <w:sz w:val="24"/>
          <w:szCs w:val="24"/>
          <w:highlight w:val="none"/>
        </w:rPr>
        <w:t>货物标牌完整、清晰、明确。</w:t>
      </w:r>
    </w:p>
    <w:p w14:paraId="241957F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1.9</w:t>
      </w:r>
      <w:r>
        <w:rPr>
          <w:rFonts w:hint="eastAsia" w:ascii="宋体" w:hAnsi="宋体" w:eastAsia="宋体" w:cs="宋体"/>
          <w:sz w:val="24"/>
          <w:szCs w:val="24"/>
          <w:highlight w:val="none"/>
        </w:rPr>
        <w:t>地线联接和地极符合国际（</w:t>
      </w:r>
      <w:r>
        <w:rPr>
          <w:rFonts w:ascii="宋体" w:hAnsi="宋体" w:eastAsia="宋体" w:cs="宋体"/>
          <w:sz w:val="24"/>
          <w:szCs w:val="24"/>
          <w:highlight w:val="none"/>
        </w:rPr>
        <w:t>ISO/IEC</w:t>
      </w:r>
      <w:r>
        <w:rPr>
          <w:rFonts w:hint="eastAsia" w:ascii="宋体" w:hAnsi="宋体" w:eastAsia="宋体" w:cs="宋体"/>
          <w:sz w:val="24"/>
          <w:szCs w:val="24"/>
          <w:highlight w:val="none"/>
        </w:rPr>
        <w:t>）标准规范。</w:t>
      </w:r>
    </w:p>
    <w:p w14:paraId="6B1EC4E9">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1.10</w:t>
      </w:r>
      <w:r>
        <w:rPr>
          <w:rFonts w:hint="eastAsia" w:ascii="宋体" w:hAnsi="宋体" w:eastAsia="宋体" w:cs="宋体"/>
          <w:sz w:val="24"/>
          <w:szCs w:val="24"/>
          <w:highlight w:val="none"/>
        </w:rPr>
        <w:t>货物的安全要求符合中国最新的相关法律、法规、标准和规范以及合同要求。</w:t>
      </w:r>
    </w:p>
    <w:p w14:paraId="7BFC4AB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2.1.11中标方提出终验收前1个月，需向招标方提供的技术文件资料：</w:t>
      </w:r>
    </w:p>
    <w:p w14:paraId="60CDE2F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1）所有技术文件资料均为纸质文件3套和电子版文件（含3D和2D）3套（U盘），其中所有电子版文件必须使用国际通用软件以确保能在招标方的计算机中打开并进行编辑和修改。</w:t>
      </w:r>
    </w:p>
    <w:p w14:paraId="361B419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2）所有设备的数量、规格明细及可供制造或采购的图纸、标准；</w:t>
      </w:r>
    </w:p>
    <w:p w14:paraId="280D877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3）标的物的操作、维护和维修手册，以及液压、电气、润滑（气动）原理图；</w:t>
      </w:r>
    </w:p>
    <w:p w14:paraId="5D087E8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4）提供设施消耗电、气的详细资料；</w:t>
      </w:r>
    </w:p>
    <w:p w14:paraId="6F53DE2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5）工装图纸（包括总成图、分总成图、部件图、零件图以及适用的标准等技术文件），投标方专利部分图纸，可提供简图；</w:t>
      </w:r>
    </w:p>
    <w:p w14:paraId="7AD1BAF6">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6）滑台的总图、装配安装图、部件图、零件图；</w:t>
      </w:r>
    </w:p>
    <w:p w14:paraId="772FB9E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7）外购件明细表及相应的供应商联系地址和使用维修说明书；</w:t>
      </w:r>
    </w:p>
    <w:p w14:paraId="42DDAB5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8）易损件和备件明细表，当投标方认为必要时在提供货物的同时应提供必要数量的易损件和备件；</w:t>
      </w:r>
    </w:p>
    <w:p w14:paraId="1D03712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9）电动葫芦的使用说明书，维修手册；</w:t>
      </w:r>
    </w:p>
    <w:p w14:paraId="625199C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10）控制软件。</w:t>
      </w:r>
    </w:p>
    <w:p w14:paraId="4488F99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2.2终验收标准</w:t>
      </w:r>
    </w:p>
    <w:p w14:paraId="278359C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2.2.1投标方派专家到招标方现场进行安装调试和技术指导。所有设备由投标方负责安装、调试完成后，双方在生产地点进行最终验收。</w:t>
      </w:r>
    </w:p>
    <w:p w14:paraId="4F88C94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2.2.2设备需连续空运转8小时没有任何故障，其中每间隔4小时允许有30分钟的暂停时间用以设备的检查。在空运转中，所有电器、液压系统需符合有关产品标准。超出以上规定时间，则重新开始计算。</w:t>
      </w:r>
    </w:p>
    <w:p w14:paraId="704896B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在连续的生产周期内，设备故障率(因设备故障造成停线时间/总运行时间)在</w:t>
      </w:r>
      <w:r>
        <w:rPr>
          <w:rFonts w:ascii="宋体" w:hAnsi="宋体" w:eastAsia="宋体" w:cs="宋体"/>
          <w:sz w:val="24"/>
          <w:szCs w:val="24"/>
          <w:highlight w:val="none"/>
        </w:rPr>
        <w:t>5</w:t>
      </w:r>
      <w:r>
        <w:rPr>
          <w:rFonts w:hint="eastAsia" w:ascii="宋体" w:hAnsi="宋体" w:eastAsia="宋体" w:cs="宋体"/>
          <w:sz w:val="24"/>
          <w:szCs w:val="24"/>
          <w:highlight w:val="none"/>
        </w:rPr>
        <w:t>%以下。在此期间保证现有线体生产的新车型至少有10辆份的测量数据且测量数据均满足尺寸精度要求。驾驶室总数量累计不得低于</w:t>
      </w:r>
      <w:r>
        <w:rPr>
          <w:rFonts w:ascii="宋体" w:hAnsi="宋体" w:eastAsia="宋体" w:cs="宋体"/>
          <w:sz w:val="24"/>
          <w:szCs w:val="24"/>
          <w:highlight w:val="none"/>
        </w:rPr>
        <w:t>20</w:t>
      </w:r>
      <w:r>
        <w:rPr>
          <w:rFonts w:hint="eastAsia" w:ascii="宋体" w:hAnsi="宋体" w:eastAsia="宋体" w:cs="宋体"/>
          <w:sz w:val="24"/>
          <w:szCs w:val="24"/>
          <w:highlight w:val="none"/>
        </w:rPr>
        <w:t>辆份并经过总装装配验证，装配无问题后视为达到申请验收标准。</w:t>
      </w:r>
    </w:p>
    <w:p w14:paraId="7825C6C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2.2.3最终验收期间若发现合同供货内容有质量问题或发现破损、缺陷和缺少零件，投标方应根据招标方要求免费更换零部件并解决问题，并且记录在终验收的报告中。</w:t>
      </w:r>
    </w:p>
    <w:p w14:paraId="30E5E3E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2.2.4按合同要求验收，若投标方提供的标的内容、技术资料与合同中规定的内容有不符或缺少时，招标方有权要求更换及补偿。</w:t>
      </w:r>
    </w:p>
    <w:p w14:paraId="5952448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2.2.5投标方一旦中标，需向招标方提供的技术文件资料。</w:t>
      </w:r>
    </w:p>
    <w:p w14:paraId="00AECB1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2.2.6装配图、易损件2D零件图（若易损件需要加工型面，需增加提供3D图）、零件明细（内部标注易损件）。</w:t>
      </w:r>
    </w:p>
    <w:p w14:paraId="7CBD59D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2.2.7所有技术文件资料均为电子版文件（含3D和2D）3套（U盘）3套，纸质版文件3份，其中所有电子版文件必须使用国际通用软件以确保能在招标方的计算机中打开并进行编辑和修改。</w:t>
      </w:r>
    </w:p>
    <w:p w14:paraId="67A8167F">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8所配备的传感器等计量仪器、仪表配套合理，采用中国的法定计量单位，计量准确、灵敏可靠，能够实现预期的技术要求。</w:t>
      </w:r>
    </w:p>
    <w:p w14:paraId="3967D085">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9控制系统运行稳定可靠，能够实现前述远程控制、状态监测、故障报警等功能。</w:t>
      </w:r>
    </w:p>
    <w:p w14:paraId="2F1E9F1B">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10试运行期间或之后无维修、调整等行为（特殊情况除外）。</w:t>
      </w:r>
    </w:p>
    <w:p w14:paraId="77FAA6A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11验收原则上要求一次完成。若一次验收不成功，最多允许两次；如果出现第三次验收失败，重新作价或退货。</w:t>
      </w:r>
    </w:p>
    <w:p w14:paraId="3C3B7F8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12验收通过后买卖双方共同签署验收报告，并移交、核对全部供货范围内物品。</w:t>
      </w:r>
    </w:p>
    <w:p w14:paraId="57769B6E">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3.技术培训</w:t>
      </w:r>
    </w:p>
    <w:p w14:paraId="105A9261">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3.1在预验收和终验收期间，投标方应派有经验的专家对招标方相关人员进行理论和实际操作的培训，并提供成套培训资料，所有培训应是免费的。</w:t>
      </w:r>
    </w:p>
    <w:p w14:paraId="2076897D">
      <w:pPr>
        <w:rPr>
          <w:rFonts w:hint="eastAsia" w:ascii="黑体" w:hAnsi="等线" w:eastAsia="黑体" w:cs="Times New Roman"/>
          <w:sz w:val="24"/>
          <w:szCs w:val="24"/>
          <w:highlight w:val="none"/>
        </w:rPr>
      </w:pPr>
      <w:bookmarkStart w:id="51" w:name="_Toc9658384"/>
      <w:r>
        <w:rPr>
          <w:rFonts w:ascii="黑体" w:hAnsi="等线" w:eastAsia="黑体" w:cs="Times New Roman"/>
          <w:sz w:val="24"/>
          <w:szCs w:val="24"/>
          <w:highlight w:val="none"/>
        </w:rPr>
        <w:br w:type="page"/>
      </w:r>
    </w:p>
    <w:p w14:paraId="5567B477">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52" w:name="_Toc10390"/>
      <w:bookmarkStart w:id="53" w:name="_Toc4480"/>
      <w:r>
        <w:rPr>
          <w:rFonts w:hint="eastAsia" w:ascii="黑体" w:hAnsi="等线" w:eastAsia="黑体" w:cs="Times New Roman"/>
          <w:kern w:val="44"/>
          <w:sz w:val="28"/>
          <w:szCs w:val="28"/>
          <w:highlight w:val="none"/>
          <w:lang w:val="en-GB"/>
        </w:rPr>
        <w:t>第六章  投标技术文件一般要求</w:t>
      </w:r>
      <w:bookmarkEnd w:id="51"/>
      <w:bookmarkEnd w:id="52"/>
      <w:bookmarkEnd w:id="53"/>
    </w:p>
    <w:p w14:paraId="5813079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一、技术文件一般内容要求</w:t>
      </w:r>
    </w:p>
    <w:p w14:paraId="6D02FA0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、投标方应认真阅读招标文件和本技术标书，并按要求编写投标技术文件。</w:t>
      </w:r>
    </w:p>
    <w:p w14:paraId="7FAA6BF9">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、投标技术文件至少应对投标货物的功能用途、技术性能、质量标准、技术参数等作出详细说明。</w:t>
      </w:r>
    </w:p>
    <w:p w14:paraId="42800AF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、投标技术文件至少应根据投标货物的关键设备、总成、零部件或系统作出满足或优于招标文件要求的详细说明。</w:t>
      </w:r>
    </w:p>
    <w:p w14:paraId="6A38AE4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、投标技术文件至少应按照招标文件要求（或投标方建议）列明备品备件、易损件和专用耗材明细。</w:t>
      </w:r>
    </w:p>
    <w:p w14:paraId="324835B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、投标方应当而且必须分别说明所列备品备件、易损件和专用耗材的使用寿命（以有效工作小时数说明）。</w:t>
      </w:r>
    </w:p>
    <w:p w14:paraId="58388B4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、投标的货物，应当根据其配置和备品备件、易损件、专用耗材情况，尽可能详细且分类填入下表：</w:t>
      </w:r>
    </w:p>
    <w:p w14:paraId="0C8BAB1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6.1  </w:t>
      </w:r>
      <w:r>
        <w:rPr>
          <w:rFonts w:hint="eastAsia" w:ascii="宋体" w:hAnsi="宋体" w:eastAsia="宋体" w:cs="宋体"/>
          <w:sz w:val="24"/>
          <w:szCs w:val="24"/>
          <w:highlight w:val="none"/>
        </w:rPr>
        <w:t>投标货物配置一览表：</w:t>
      </w:r>
    </w:p>
    <w:p w14:paraId="27B1CE49">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投标货物配置一览表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38"/>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65424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2BAA345">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14:paraId="07D9778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14:paraId="2BD0036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14:paraId="48B358C8">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14:paraId="6F4AAB77">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14:paraId="5B05613B">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14:paraId="5C462FE4">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14:paraId="1ACA3439">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14:paraId="03EEE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F78AA7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2722F739">
            <w:pPr>
              <w:adjustRightInd w:val="0"/>
              <w:snapToGrid w:val="0"/>
              <w:spacing w:line="360" w:lineRule="auto"/>
              <w:rPr>
                <w:rFonts w:hint="eastAsia" w:ascii="宋体" w:hAnsi="宋体" w:eastAsia="宋体" w:cs="宋体"/>
                <w:sz w:val="24"/>
                <w:szCs w:val="24"/>
                <w:highlight w:val="none"/>
              </w:rPr>
            </w:pPr>
          </w:p>
        </w:tc>
        <w:tc>
          <w:tcPr>
            <w:tcW w:w="1236" w:type="dxa"/>
          </w:tcPr>
          <w:p w14:paraId="4E1D8375">
            <w:pPr>
              <w:adjustRightInd w:val="0"/>
              <w:snapToGrid w:val="0"/>
              <w:spacing w:line="360" w:lineRule="auto"/>
              <w:rPr>
                <w:rFonts w:hint="eastAsia" w:ascii="宋体" w:hAnsi="宋体" w:eastAsia="宋体" w:cs="宋体"/>
                <w:sz w:val="24"/>
                <w:szCs w:val="24"/>
                <w:highlight w:val="none"/>
              </w:rPr>
            </w:pPr>
          </w:p>
        </w:tc>
        <w:tc>
          <w:tcPr>
            <w:tcW w:w="720" w:type="dxa"/>
          </w:tcPr>
          <w:p w14:paraId="7D74D1B9">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25DDAE9">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137C384">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B979853">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533B0D64">
            <w:pPr>
              <w:adjustRightInd w:val="0"/>
              <w:snapToGrid w:val="0"/>
              <w:spacing w:line="360" w:lineRule="auto"/>
              <w:rPr>
                <w:rFonts w:hint="eastAsia" w:ascii="宋体" w:hAnsi="宋体" w:eastAsia="宋体" w:cs="宋体"/>
                <w:sz w:val="24"/>
                <w:szCs w:val="24"/>
                <w:highlight w:val="none"/>
              </w:rPr>
            </w:pPr>
          </w:p>
        </w:tc>
      </w:tr>
      <w:tr w14:paraId="68897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A27CA05">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22B61B2">
            <w:pPr>
              <w:adjustRightInd w:val="0"/>
              <w:snapToGrid w:val="0"/>
              <w:spacing w:line="360" w:lineRule="auto"/>
              <w:rPr>
                <w:rFonts w:hint="eastAsia" w:ascii="宋体" w:hAnsi="宋体" w:eastAsia="宋体" w:cs="宋体"/>
                <w:sz w:val="24"/>
                <w:szCs w:val="24"/>
                <w:highlight w:val="none"/>
              </w:rPr>
            </w:pPr>
          </w:p>
        </w:tc>
        <w:tc>
          <w:tcPr>
            <w:tcW w:w="1236" w:type="dxa"/>
          </w:tcPr>
          <w:p w14:paraId="4AD9DC5F">
            <w:pPr>
              <w:adjustRightInd w:val="0"/>
              <w:snapToGrid w:val="0"/>
              <w:spacing w:line="360" w:lineRule="auto"/>
              <w:rPr>
                <w:rFonts w:hint="eastAsia" w:ascii="宋体" w:hAnsi="宋体" w:eastAsia="宋体" w:cs="宋体"/>
                <w:sz w:val="24"/>
                <w:szCs w:val="24"/>
                <w:highlight w:val="none"/>
              </w:rPr>
            </w:pPr>
          </w:p>
        </w:tc>
        <w:tc>
          <w:tcPr>
            <w:tcW w:w="720" w:type="dxa"/>
          </w:tcPr>
          <w:p w14:paraId="192A5D1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52E9E68">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136C72D">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6258CB2A">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4099AC4A">
            <w:pPr>
              <w:adjustRightInd w:val="0"/>
              <w:snapToGrid w:val="0"/>
              <w:spacing w:line="360" w:lineRule="auto"/>
              <w:rPr>
                <w:rFonts w:hint="eastAsia" w:ascii="宋体" w:hAnsi="宋体" w:eastAsia="宋体" w:cs="宋体"/>
                <w:sz w:val="24"/>
                <w:szCs w:val="24"/>
                <w:highlight w:val="none"/>
              </w:rPr>
            </w:pPr>
          </w:p>
        </w:tc>
      </w:tr>
      <w:tr w14:paraId="0CB8C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4A020B7">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66B4F101">
            <w:pPr>
              <w:adjustRightInd w:val="0"/>
              <w:snapToGrid w:val="0"/>
              <w:spacing w:line="360" w:lineRule="auto"/>
              <w:rPr>
                <w:rFonts w:hint="eastAsia" w:ascii="宋体" w:hAnsi="宋体" w:eastAsia="宋体" w:cs="宋体"/>
                <w:sz w:val="24"/>
                <w:szCs w:val="24"/>
                <w:highlight w:val="none"/>
              </w:rPr>
            </w:pPr>
          </w:p>
        </w:tc>
        <w:tc>
          <w:tcPr>
            <w:tcW w:w="1236" w:type="dxa"/>
          </w:tcPr>
          <w:p w14:paraId="473FA080">
            <w:pPr>
              <w:adjustRightInd w:val="0"/>
              <w:snapToGrid w:val="0"/>
              <w:spacing w:line="360" w:lineRule="auto"/>
              <w:rPr>
                <w:rFonts w:hint="eastAsia" w:ascii="宋体" w:hAnsi="宋体" w:eastAsia="宋体" w:cs="宋体"/>
                <w:sz w:val="24"/>
                <w:szCs w:val="24"/>
                <w:highlight w:val="none"/>
              </w:rPr>
            </w:pPr>
          </w:p>
        </w:tc>
        <w:tc>
          <w:tcPr>
            <w:tcW w:w="720" w:type="dxa"/>
          </w:tcPr>
          <w:p w14:paraId="1C9F9C52">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690691B">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4DD263D5">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2440251">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6C1B421">
            <w:pPr>
              <w:adjustRightInd w:val="0"/>
              <w:snapToGrid w:val="0"/>
              <w:spacing w:line="360" w:lineRule="auto"/>
              <w:rPr>
                <w:rFonts w:hint="eastAsia" w:ascii="宋体" w:hAnsi="宋体" w:eastAsia="宋体" w:cs="宋体"/>
                <w:sz w:val="24"/>
                <w:szCs w:val="24"/>
                <w:highlight w:val="none"/>
              </w:rPr>
            </w:pPr>
          </w:p>
        </w:tc>
      </w:tr>
      <w:tr w14:paraId="2E7EF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94330B3">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6C96569">
            <w:pPr>
              <w:adjustRightInd w:val="0"/>
              <w:snapToGrid w:val="0"/>
              <w:spacing w:line="360" w:lineRule="auto"/>
              <w:rPr>
                <w:rFonts w:hint="eastAsia" w:ascii="宋体" w:hAnsi="宋体" w:eastAsia="宋体" w:cs="宋体"/>
                <w:sz w:val="24"/>
                <w:szCs w:val="24"/>
                <w:highlight w:val="none"/>
              </w:rPr>
            </w:pPr>
          </w:p>
        </w:tc>
        <w:tc>
          <w:tcPr>
            <w:tcW w:w="1236" w:type="dxa"/>
          </w:tcPr>
          <w:p w14:paraId="6E32B4BF">
            <w:pPr>
              <w:adjustRightInd w:val="0"/>
              <w:snapToGrid w:val="0"/>
              <w:spacing w:line="360" w:lineRule="auto"/>
              <w:rPr>
                <w:rFonts w:hint="eastAsia" w:ascii="宋体" w:hAnsi="宋体" w:eastAsia="宋体" w:cs="宋体"/>
                <w:sz w:val="24"/>
                <w:szCs w:val="24"/>
                <w:highlight w:val="none"/>
              </w:rPr>
            </w:pPr>
          </w:p>
        </w:tc>
        <w:tc>
          <w:tcPr>
            <w:tcW w:w="720" w:type="dxa"/>
          </w:tcPr>
          <w:p w14:paraId="1CEF1CD7">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31E179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298C60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696E8FA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52ED2071">
            <w:pPr>
              <w:adjustRightInd w:val="0"/>
              <w:snapToGrid w:val="0"/>
              <w:spacing w:line="360" w:lineRule="auto"/>
              <w:rPr>
                <w:rFonts w:hint="eastAsia" w:ascii="宋体" w:hAnsi="宋体" w:eastAsia="宋体" w:cs="宋体"/>
                <w:sz w:val="24"/>
                <w:szCs w:val="24"/>
                <w:highlight w:val="none"/>
              </w:rPr>
            </w:pPr>
          </w:p>
        </w:tc>
      </w:tr>
    </w:tbl>
    <w:p w14:paraId="233DF8E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6.2  </w:t>
      </w:r>
      <w:r>
        <w:rPr>
          <w:rFonts w:hint="eastAsia" w:ascii="宋体" w:hAnsi="宋体" w:eastAsia="宋体" w:cs="宋体"/>
          <w:sz w:val="24"/>
          <w:szCs w:val="24"/>
          <w:highlight w:val="none"/>
        </w:rPr>
        <w:t>备品备件、易损件和专用耗材明细表：</w:t>
      </w:r>
    </w:p>
    <w:p w14:paraId="4BB206DF">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备品备件、易损件和专用耗材明细表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38"/>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35F3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295FF2C">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14:paraId="0E2CDD6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14:paraId="65B3663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14:paraId="36D53A67">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14:paraId="63A03444">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14:paraId="463FE678">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14:paraId="4C9304EB">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14:paraId="6ECB2015">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14:paraId="19766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DABF356">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3C558C9C">
            <w:pPr>
              <w:adjustRightInd w:val="0"/>
              <w:snapToGrid w:val="0"/>
              <w:spacing w:line="360" w:lineRule="auto"/>
              <w:rPr>
                <w:rFonts w:hint="eastAsia" w:ascii="宋体" w:hAnsi="宋体" w:eastAsia="宋体" w:cs="宋体"/>
                <w:sz w:val="24"/>
                <w:szCs w:val="24"/>
                <w:highlight w:val="none"/>
              </w:rPr>
            </w:pPr>
          </w:p>
        </w:tc>
        <w:tc>
          <w:tcPr>
            <w:tcW w:w="1236" w:type="dxa"/>
          </w:tcPr>
          <w:p w14:paraId="3EFA30A9">
            <w:pPr>
              <w:adjustRightInd w:val="0"/>
              <w:snapToGrid w:val="0"/>
              <w:spacing w:line="360" w:lineRule="auto"/>
              <w:rPr>
                <w:rFonts w:hint="eastAsia" w:ascii="宋体" w:hAnsi="宋体" w:eastAsia="宋体" w:cs="宋体"/>
                <w:sz w:val="24"/>
                <w:szCs w:val="24"/>
                <w:highlight w:val="none"/>
              </w:rPr>
            </w:pPr>
          </w:p>
        </w:tc>
        <w:tc>
          <w:tcPr>
            <w:tcW w:w="720" w:type="dxa"/>
          </w:tcPr>
          <w:p w14:paraId="5DB54708">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733062C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B16770D">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748207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FA96C1F">
            <w:pPr>
              <w:adjustRightInd w:val="0"/>
              <w:snapToGrid w:val="0"/>
              <w:spacing w:line="360" w:lineRule="auto"/>
              <w:rPr>
                <w:rFonts w:hint="eastAsia" w:ascii="宋体" w:hAnsi="宋体" w:eastAsia="宋体" w:cs="宋体"/>
                <w:sz w:val="24"/>
                <w:szCs w:val="24"/>
                <w:highlight w:val="none"/>
              </w:rPr>
            </w:pPr>
          </w:p>
        </w:tc>
      </w:tr>
      <w:tr w14:paraId="18470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CF262B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420C2BC1">
            <w:pPr>
              <w:adjustRightInd w:val="0"/>
              <w:snapToGrid w:val="0"/>
              <w:spacing w:line="360" w:lineRule="auto"/>
              <w:rPr>
                <w:rFonts w:hint="eastAsia" w:ascii="宋体" w:hAnsi="宋体" w:eastAsia="宋体" w:cs="宋体"/>
                <w:sz w:val="24"/>
                <w:szCs w:val="24"/>
                <w:highlight w:val="none"/>
              </w:rPr>
            </w:pPr>
          </w:p>
        </w:tc>
        <w:tc>
          <w:tcPr>
            <w:tcW w:w="1236" w:type="dxa"/>
          </w:tcPr>
          <w:p w14:paraId="6F90EA6E">
            <w:pPr>
              <w:adjustRightInd w:val="0"/>
              <w:snapToGrid w:val="0"/>
              <w:spacing w:line="360" w:lineRule="auto"/>
              <w:rPr>
                <w:rFonts w:hint="eastAsia" w:ascii="宋体" w:hAnsi="宋体" w:eastAsia="宋体" w:cs="宋体"/>
                <w:sz w:val="24"/>
                <w:szCs w:val="24"/>
                <w:highlight w:val="none"/>
              </w:rPr>
            </w:pPr>
          </w:p>
        </w:tc>
        <w:tc>
          <w:tcPr>
            <w:tcW w:w="720" w:type="dxa"/>
          </w:tcPr>
          <w:p w14:paraId="6638EA0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735A56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B31324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4A71FBB">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14BCFD29">
            <w:pPr>
              <w:adjustRightInd w:val="0"/>
              <w:snapToGrid w:val="0"/>
              <w:spacing w:line="360" w:lineRule="auto"/>
              <w:rPr>
                <w:rFonts w:hint="eastAsia" w:ascii="宋体" w:hAnsi="宋体" w:eastAsia="宋体" w:cs="宋体"/>
                <w:sz w:val="24"/>
                <w:szCs w:val="24"/>
                <w:highlight w:val="none"/>
              </w:rPr>
            </w:pPr>
          </w:p>
        </w:tc>
      </w:tr>
      <w:tr w14:paraId="64E7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E32258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0541A55">
            <w:pPr>
              <w:adjustRightInd w:val="0"/>
              <w:snapToGrid w:val="0"/>
              <w:spacing w:line="360" w:lineRule="auto"/>
              <w:rPr>
                <w:rFonts w:hint="eastAsia" w:ascii="宋体" w:hAnsi="宋体" w:eastAsia="宋体" w:cs="宋体"/>
                <w:sz w:val="24"/>
                <w:szCs w:val="24"/>
                <w:highlight w:val="none"/>
              </w:rPr>
            </w:pPr>
          </w:p>
        </w:tc>
        <w:tc>
          <w:tcPr>
            <w:tcW w:w="1236" w:type="dxa"/>
          </w:tcPr>
          <w:p w14:paraId="3D7F9E80">
            <w:pPr>
              <w:adjustRightInd w:val="0"/>
              <w:snapToGrid w:val="0"/>
              <w:spacing w:line="360" w:lineRule="auto"/>
              <w:rPr>
                <w:rFonts w:hint="eastAsia" w:ascii="宋体" w:hAnsi="宋体" w:eastAsia="宋体" w:cs="宋体"/>
                <w:sz w:val="24"/>
                <w:szCs w:val="24"/>
                <w:highlight w:val="none"/>
              </w:rPr>
            </w:pPr>
          </w:p>
        </w:tc>
        <w:tc>
          <w:tcPr>
            <w:tcW w:w="720" w:type="dxa"/>
          </w:tcPr>
          <w:p w14:paraId="47D3D1A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7B153C3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53E64E1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EC130CA">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6F0B0BC">
            <w:pPr>
              <w:adjustRightInd w:val="0"/>
              <w:snapToGrid w:val="0"/>
              <w:spacing w:line="360" w:lineRule="auto"/>
              <w:rPr>
                <w:rFonts w:hint="eastAsia" w:ascii="宋体" w:hAnsi="宋体" w:eastAsia="宋体" w:cs="宋体"/>
                <w:sz w:val="24"/>
                <w:szCs w:val="24"/>
                <w:highlight w:val="none"/>
              </w:rPr>
            </w:pPr>
          </w:p>
        </w:tc>
      </w:tr>
      <w:tr w14:paraId="0C93B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43CF4A0">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6FBA0F19">
            <w:pPr>
              <w:adjustRightInd w:val="0"/>
              <w:snapToGrid w:val="0"/>
              <w:spacing w:line="360" w:lineRule="auto"/>
              <w:rPr>
                <w:rFonts w:hint="eastAsia" w:ascii="宋体" w:hAnsi="宋体" w:eastAsia="宋体" w:cs="宋体"/>
                <w:sz w:val="24"/>
                <w:szCs w:val="24"/>
                <w:highlight w:val="none"/>
              </w:rPr>
            </w:pPr>
          </w:p>
        </w:tc>
        <w:tc>
          <w:tcPr>
            <w:tcW w:w="1236" w:type="dxa"/>
          </w:tcPr>
          <w:p w14:paraId="40896F9F">
            <w:pPr>
              <w:adjustRightInd w:val="0"/>
              <w:snapToGrid w:val="0"/>
              <w:spacing w:line="360" w:lineRule="auto"/>
              <w:rPr>
                <w:rFonts w:hint="eastAsia" w:ascii="宋体" w:hAnsi="宋体" w:eastAsia="宋体" w:cs="宋体"/>
                <w:sz w:val="24"/>
                <w:szCs w:val="24"/>
                <w:highlight w:val="none"/>
              </w:rPr>
            </w:pPr>
          </w:p>
        </w:tc>
        <w:tc>
          <w:tcPr>
            <w:tcW w:w="720" w:type="dxa"/>
          </w:tcPr>
          <w:p w14:paraId="4D2433B7">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E8861BB">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8F7C26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2FA013C">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4DB1491">
            <w:pPr>
              <w:adjustRightInd w:val="0"/>
              <w:snapToGrid w:val="0"/>
              <w:spacing w:line="360" w:lineRule="auto"/>
              <w:rPr>
                <w:rFonts w:hint="eastAsia" w:ascii="宋体" w:hAnsi="宋体" w:eastAsia="宋体" w:cs="宋体"/>
                <w:sz w:val="24"/>
                <w:szCs w:val="24"/>
                <w:highlight w:val="none"/>
              </w:rPr>
            </w:pPr>
          </w:p>
        </w:tc>
      </w:tr>
      <w:tr w14:paraId="65582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1749800">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48DC6F32">
            <w:pPr>
              <w:adjustRightInd w:val="0"/>
              <w:snapToGrid w:val="0"/>
              <w:spacing w:line="360" w:lineRule="auto"/>
              <w:rPr>
                <w:rFonts w:hint="eastAsia" w:ascii="宋体" w:hAnsi="宋体" w:eastAsia="宋体" w:cs="宋体"/>
                <w:sz w:val="24"/>
                <w:szCs w:val="24"/>
                <w:highlight w:val="none"/>
              </w:rPr>
            </w:pPr>
          </w:p>
        </w:tc>
        <w:tc>
          <w:tcPr>
            <w:tcW w:w="1236" w:type="dxa"/>
          </w:tcPr>
          <w:p w14:paraId="75A2F5A2">
            <w:pPr>
              <w:adjustRightInd w:val="0"/>
              <w:snapToGrid w:val="0"/>
              <w:spacing w:line="360" w:lineRule="auto"/>
              <w:rPr>
                <w:rFonts w:hint="eastAsia" w:ascii="宋体" w:hAnsi="宋体" w:eastAsia="宋体" w:cs="宋体"/>
                <w:sz w:val="24"/>
                <w:szCs w:val="24"/>
                <w:highlight w:val="none"/>
              </w:rPr>
            </w:pPr>
          </w:p>
        </w:tc>
        <w:tc>
          <w:tcPr>
            <w:tcW w:w="720" w:type="dxa"/>
          </w:tcPr>
          <w:p w14:paraId="6FD85E75">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4A2B2511">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3DAF55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81D90D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3DE17210">
            <w:pPr>
              <w:adjustRightInd w:val="0"/>
              <w:snapToGrid w:val="0"/>
              <w:spacing w:line="360" w:lineRule="auto"/>
              <w:rPr>
                <w:rFonts w:hint="eastAsia" w:ascii="宋体" w:hAnsi="宋体" w:eastAsia="宋体" w:cs="宋体"/>
                <w:sz w:val="24"/>
                <w:szCs w:val="24"/>
                <w:highlight w:val="none"/>
              </w:rPr>
            </w:pPr>
          </w:p>
        </w:tc>
      </w:tr>
    </w:tbl>
    <w:p w14:paraId="0E0BF91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6.3  </w:t>
      </w:r>
      <w:r>
        <w:rPr>
          <w:rFonts w:hint="eastAsia" w:ascii="宋体" w:hAnsi="宋体" w:eastAsia="宋体" w:cs="宋体"/>
          <w:sz w:val="24"/>
          <w:szCs w:val="24"/>
          <w:highlight w:val="none"/>
        </w:rPr>
        <w:t>“一览表”和“明细表”仅作为投标方编制投标技术文件的一般格式。其中序号编写应当便于招标方了解分类或分项货物之间的所属关系，如</w:t>
      </w:r>
      <w:r>
        <w:rPr>
          <w:rFonts w:ascii="宋体" w:hAnsi="宋体" w:eastAsia="宋体" w:cs="宋体"/>
          <w:sz w:val="24"/>
          <w:szCs w:val="24"/>
          <w:highlight w:val="none"/>
        </w:rPr>
        <w:t>1</w:t>
      </w:r>
      <w:r>
        <w:rPr>
          <w:rFonts w:hint="eastAsia" w:ascii="宋体" w:hAnsi="宋体" w:eastAsia="宋体" w:cs="宋体"/>
          <w:sz w:val="24"/>
          <w:szCs w:val="24"/>
          <w:highlight w:val="none"/>
        </w:rPr>
        <w:t>、</w:t>
      </w:r>
      <w:r>
        <w:rPr>
          <w:rFonts w:ascii="宋体" w:hAnsi="宋体" w:eastAsia="宋体" w:cs="宋体"/>
          <w:sz w:val="24"/>
          <w:szCs w:val="24"/>
          <w:highlight w:val="none"/>
        </w:rPr>
        <w:t>1.1</w:t>
      </w:r>
      <w:r>
        <w:rPr>
          <w:rFonts w:hint="eastAsia" w:ascii="宋体" w:hAnsi="宋体" w:eastAsia="宋体" w:cs="宋体"/>
          <w:sz w:val="24"/>
          <w:szCs w:val="24"/>
          <w:highlight w:val="none"/>
        </w:rPr>
        <w:t>、</w:t>
      </w:r>
      <w:r>
        <w:rPr>
          <w:rFonts w:ascii="宋体" w:hAnsi="宋体" w:eastAsia="宋体" w:cs="宋体"/>
          <w:sz w:val="24"/>
          <w:szCs w:val="24"/>
          <w:highlight w:val="none"/>
        </w:rPr>
        <w:t>1.2</w:t>
      </w:r>
      <w:r>
        <w:rPr>
          <w:rFonts w:hint="eastAsia" w:ascii="宋体" w:hAnsi="宋体" w:eastAsia="宋体" w:cs="宋体"/>
          <w:sz w:val="24"/>
          <w:szCs w:val="24"/>
          <w:highlight w:val="none"/>
        </w:rPr>
        <w:t>。</w:t>
      </w:r>
    </w:p>
    <w:p w14:paraId="7FD105F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6.4  </w:t>
      </w:r>
      <w:r>
        <w:rPr>
          <w:rFonts w:hint="eastAsia" w:ascii="宋体" w:hAnsi="宋体" w:eastAsia="宋体" w:cs="宋体"/>
          <w:sz w:val="24"/>
          <w:szCs w:val="24"/>
          <w:highlight w:val="none"/>
        </w:rPr>
        <w:t>应当尽可能将货物的配置列全、列细，这将有助于投标方胜出。</w:t>
      </w:r>
    </w:p>
    <w:p w14:paraId="5930CAE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6.5  </w:t>
      </w:r>
      <w:r>
        <w:rPr>
          <w:rFonts w:hint="eastAsia" w:ascii="宋体" w:hAnsi="宋体" w:eastAsia="宋体" w:cs="宋体"/>
          <w:sz w:val="24"/>
          <w:szCs w:val="24"/>
          <w:highlight w:val="none"/>
        </w:rPr>
        <w:t>单价与总价之间、总价与分类小计价之间、分类小计价与合计价之间数据应当齐全而且准确。</w:t>
      </w:r>
    </w:p>
    <w:p w14:paraId="4385E1B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6.6  </w:t>
      </w:r>
      <w:r>
        <w:rPr>
          <w:rFonts w:hint="eastAsia" w:ascii="宋体" w:hAnsi="宋体" w:eastAsia="宋体" w:cs="宋体"/>
          <w:sz w:val="24"/>
          <w:szCs w:val="24"/>
          <w:highlight w:val="none"/>
        </w:rPr>
        <w:t>本条款表格中的制造商，应当为全称或公认的简称。</w:t>
      </w:r>
    </w:p>
    <w:p w14:paraId="3F40CE3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二、技术文件中货物报价格式要求</w:t>
      </w:r>
    </w:p>
    <w:p w14:paraId="053C4A9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、货物配置一览表合计价以及备品备件、易损件和专用耗材明细表合计价应当在投标总报价内对应重现而且应当数据准确。</w:t>
      </w:r>
    </w:p>
    <w:p w14:paraId="14DAC2B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其中，质保期之内需要的备品备件、易损件和专用耗材，需要在配置一览表内单独分类列出并计入货物配置一览表合计价。</w:t>
      </w:r>
    </w:p>
    <w:p w14:paraId="7A3B6FD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5DBD20D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、如果投标总报价与其它价格出现错误或不一致，将有可能导致废标。</w:t>
      </w:r>
    </w:p>
    <w:p w14:paraId="58A2496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、投标总报价为自合同签定生效至合同无异议执行完毕涉及的招标方需要支付的全部费用。如投标方认为本招标及投标货物涉及特需或专门的设计，应当单独列明设计费。</w:t>
      </w:r>
    </w:p>
    <w:p w14:paraId="49DF551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、备品备件、易损件和专用耗材，招标方将可能与投标方按照投标价格另行签署供货合同。</w:t>
      </w:r>
    </w:p>
    <w:p w14:paraId="65E5A9D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、要求投标总报价、分项报价、明细报价之间应当具有相互间对应关系以及填报分项和明细报价，仅为便于评标而不妨碍投标人以最合适的形式签署合同。</w:t>
      </w:r>
    </w:p>
    <w:p w14:paraId="399C035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三、验收标准及内容要求</w:t>
      </w:r>
    </w:p>
    <w:p w14:paraId="570A197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14:paraId="40BA6F35">
      <w:pPr>
        <w:rPr>
          <w:rFonts w:hint="eastAsia" w:ascii="黑体" w:hAnsi="等线" w:eastAsia="黑体" w:cs="Times New Roman"/>
          <w:sz w:val="24"/>
          <w:szCs w:val="24"/>
          <w:highlight w:val="none"/>
        </w:rPr>
      </w:pPr>
      <w:bookmarkStart w:id="54" w:name="_Toc9658385"/>
      <w:r>
        <w:rPr>
          <w:rFonts w:ascii="黑体" w:hAnsi="等线" w:eastAsia="黑体" w:cs="Times New Roman"/>
          <w:sz w:val="24"/>
          <w:szCs w:val="24"/>
          <w:highlight w:val="none"/>
        </w:rPr>
        <w:br w:type="page"/>
      </w:r>
    </w:p>
    <w:p w14:paraId="14418D42">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55" w:name="_Toc23858"/>
      <w:bookmarkStart w:id="56" w:name="_Toc5478"/>
      <w:r>
        <w:rPr>
          <w:rFonts w:hint="eastAsia" w:ascii="黑体" w:hAnsi="等线" w:eastAsia="黑体" w:cs="Times New Roman"/>
          <w:kern w:val="44"/>
          <w:sz w:val="28"/>
          <w:szCs w:val="28"/>
          <w:highlight w:val="none"/>
          <w:lang w:val="en-GB"/>
        </w:rPr>
        <w:t>第七章  其它要求及说明</w:t>
      </w:r>
      <w:bookmarkEnd w:id="54"/>
      <w:bookmarkEnd w:id="55"/>
      <w:bookmarkEnd w:id="56"/>
    </w:p>
    <w:p w14:paraId="7377F03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一、要求</w:t>
      </w:r>
    </w:p>
    <w:p w14:paraId="27A2AA4C">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为保证本技术标书所列采购货物的质量以及先进性、可靠性、经济性和实用性，要求投标方在投标文件中，至少应具备以下资格证明文件或资料：</w:t>
      </w:r>
    </w:p>
    <w:p w14:paraId="4086E9A3">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是独立法人或得到法人授权的机构。应当在投标文件中提供法人营业执照（复印件）、税务登记证以及组织机构代码证（国外供应商参考该要求提供有效证明文件）、相关类似案例的合同原始证明（采用天然气</w:t>
      </w:r>
      <w:r>
        <w:rPr>
          <w:rFonts w:ascii="宋体" w:hAnsi="宋体" w:eastAsia="宋体" w:cs="宋体"/>
          <w:sz w:val="24"/>
          <w:szCs w:val="24"/>
          <w:highlight w:val="none"/>
        </w:rPr>
        <w:t>/</w:t>
      </w:r>
      <w:r>
        <w:rPr>
          <w:rFonts w:hint="eastAsia" w:ascii="宋体" w:hAnsi="宋体" w:eastAsia="宋体" w:cs="宋体"/>
          <w:sz w:val="24"/>
          <w:szCs w:val="24"/>
          <w:highlight w:val="none"/>
        </w:rPr>
        <w:t>柴油加热方式）、相关案例的验收检测报告，并保证其真实性和有效性。</w:t>
      </w:r>
    </w:p>
    <w:p w14:paraId="62B3D49F">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、投标方应当是通过有关资格认证的法人。应当在投标文件中提供有效期内的资格认证证书，如：</w:t>
      </w:r>
      <w:r>
        <w:rPr>
          <w:rFonts w:ascii="宋体" w:hAnsi="宋体" w:eastAsia="宋体" w:cs="宋体"/>
          <w:sz w:val="24"/>
          <w:szCs w:val="24"/>
          <w:highlight w:val="none"/>
        </w:rPr>
        <w:t>ISO9001</w:t>
      </w:r>
      <w:r>
        <w:rPr>
          <w:rFonts w:hint="eastAsia" w:ascii="宋体" w:hAnsi="宋体" w:eastAsia="宋体" w:cs="宋体"/>
          <w:sz w:val="24"/>
          <w:szCs w:val="24"/>
          <w:highlight w:val="none"/>
        </w:rPr>
        <w:t>、</w:t>
      </w:r>
      <w:r>
        <w:rPr>
          <w:rFonts w:ascii="宋体" w:hAnsi="宋体" w:eastAsia="宋体" w:cs="宋体"/>
          <w:sz w:val="24"/>
          <w:szCs w:val="24"/>
          <w:highlight w:val="none"/>
        </w:rPr>
        <w:t>VDA6.1</w:t>
      </w:r>
      <w:r>
        <w:rPr>
          <w:rFonts w:hint="eastAsia" w:ascii="宋体" w:hAnsi="宋体" w:eastAsia="宋体" w:cs="宋体"/>
          <w:sz w:val="24"/>
          <w:szCs w:val="24"/>
          <w:highlight w:val="none"/>
        </w:rPr>
        <w:t>、</w:t>
      </w:r>
      <w:r>
        <w:rPr>
          <w:rFonts w:ascii="宋体" w:hAnsi="宋体" w:eastAsia="宋体" w:cs="宋体"/>
          <w:sz w:val="24"/>
          <w:szCs w:val="24"/>
          <w:highlight w:val="none"/>
        </w:rPr>
        <w:t>QS9000</w:t>
      </w:r>
      <w:r>
        <w:rPr>
          <w:rFonts w:hint="eastAsia" w:ascii="宋体" w:hAnsi="宋体" w:eastAsia="宋体" w:cs="宋体"/>
          <w:sz w:val="24"/>
          <w:szCs w:val="24"/>
          <w:highlight w:val="none"/>
        </w:rPr>
        <w:t>等。</w:t>
      </w:r>
    </w:p>
    <w:p w14:paraId="2EEF6BB5">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、国产设备应附有采购货物（或设备）涉及的由“中国质量认证中心”颁发的《中国国家强制性产品认证证书》（</w:t>
      </w:r>
      <w:r>
        <w:rPr>
          <w:rFonts w:ascii="宋体" w:hAnsi="宋体" w:eastAsia="宋体" w:cs="宋体"/>
          <w:sz w:val="24"/>
          <w:szCs w:val="24"/>
          <w:highlight w:val="none"/>
        </w:rPr>
        <w:t>CCC</w:t>
      </w:r>
      <w:r>
        <w:rPr>
          <w:rFonts w:hint="eastAsia" w:ascii="宋体" w:hAnsi="宋体" w:eastAsia="宋体" w:cs="宋体"/>
          <w:sz w:val="24"/>
          <w:szCs w:val="24"/>
          <w:highlight w:val="none"/>
        </w:rPr>
        <w:t>证书）。</w:t>
      </w:r>
    </w:p>
    <w:p w14:paraId="72C1A16D">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、应附有其它与投标单位、采购货物有关的荣誉证书或资料。</w:t>
      </w:r>
    </w:p>
    <w:p w14:paraId="50F2242A">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、必须附有投标货物涉及产品要求的、国家或行业管理规定要求的、或者投标方认为能够体现其投标货物合法性及先进性的最高级别的证明材料（投标货物不涉及的除外）：</w:t>
      </w:r>
    </w:p>
    <w:p w14:paraId="0195609F">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5.1</w:t>
      </w:r>
      <w:r>
        <w:rPr>
          <w:rFonts w:hint="eastAsia" w:ascii="宋体" w:hAnsi="宋体" w:eastAsia="宋体" w:cs="宋体"/>
          <w:sz w:val="24"/>
          <w:szCs w:val="24"/>
          <w:highlight w:val="none"/>
        </w:rPr>
        <w:t>国家相关机构颁发的有效期之内所必需的《生产许可证》。</w:t>
      </w:r>
    </w:p>
    <w:p w14:paraId="07FD60DB">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5.2</w:t>
      </w:r>
      <w:r>
        <w:rPr>
          <w:rFonts w:hint="eastAsia" w:ascii="宋体" w:hAnsi="宋体" w:eastAsia="宋体" w:cs="宋体"/>
          <w:sz w:val="24"/>
          <w:szCs w:val="24"/>
          <w:highlight w:val="none"/>
        </w:rPr>
        <w:t>产品（或技术）鉴定报告</w:t>
      </w:r>
      <w:r>
        <w:rPr>
          <w:rFonts w:ascii="宋体" w:hAnsi="宋体" w:eastAsia="宋体" w:cs="宋体"/>
          <w:sz w:val="24"/>
          <w:szCs w:val="24"/>
          <w:highlight w:val="none"/>
        </w:rPr>
        <w:t>/</w:t>
      </w:r>
      <w:r>
        <w:rPr>
          <w:rFonts w:hint="eastAsia" w:ascii="宋体" w:hAnsi="宋体" w:eastAsia="宋体" w:cs="宋体"/>
          <w:sz w:val="24"/>
          <w:szCs w:val="24"/>
          <w:highlight w:val="none"/>
        </w:rPr>
        <w:t>证书、专利证书或专利许可证书、新技术成果证书等。</w:t>
      </w:r>
    </w:p>
    <w:p w14:paraId="7ADD44A0">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5.3</w:t>
      </w:r>
      <w:r>
        <w:rPr>
          <w:rFonts w:hint="eastAsia" w:ascii="宋体" w:hAnsi="宋体" w:eastAsia="宋体" w:cs="宋体"/>
          <w:sz w:val="24"/>
          <w:szCs w:val="24"/>
          <w:highlight w:val="none"/>
        </w:rPr>
        <w:t>产品相关检验、试验报告，如：型式试验检验报告、安全试验检验报告、电弧效应试验报告、噪声检测报告等</w:t>
      </w:r>
    </w:p>
    <w:p w14:paraId="6CE24BE2">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5.4</w:t>
      </w:r>
      <w:r>
        <w:rPr>
          <w:rFonts w:hint="eastAsia" w:ascii="宋体" w:hAnsi="宋体" w:eastAsia="宋体" w:cs="宋体"/>
          <w:sz w:val="24"/>
          <w:szCs w:val="24"/>
          <w:highlight w:val="none"/>
        </w:rPr>
        <w:t>其它能够证明所供货物的质量水平、技术水平、安全性水平、节能性水平、环保性水平等相关的其它证明文件或资料、报告等。</w:t>
      </w:r>
    </w:p>
    <w:p w14:paraId="677D7BD0">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5.5</w:t>
      </w:r>
      <w:r>
        <w:rPr>
          <w:rFonts w:hint="eastAsia" w:ascii="宋体" w:hAnsi="宋体" w:eastAsia="宋体" w:cs="宋体"/>
          <w:sz w:val="24"/>
          <w:szCs w:val="24"/>
          <w:highlight w:val="none"/>
        </w:rPr>
        <w:t>该类报告或证明材料对于投标方胜出乃至中标极为重要！</w:t>
      </w:r>
    </w:p>
    <w:p w14:paraId="1DBB1BEF">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二、说明</w:t>
      </w:r>
    </w:p>
    <w:p w14:paraId="3548FF6D">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、投标方可以根据自身的技术、经验等优势以及对招标文件和本技术标书的理解，写明对招标方所采购货物的优化方案或建议意见。投标方的这些努力，投标方表示感谢，并将有助于投标方优先胜出。</w:t>
      </w:r>
    </w:p>
    <w:p w14:paraId="225BED1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、即使有建议意见或建议方案，仍应依据招标文件和本技术标书要求，编写符合要求的投标文件。建议方案或建议意见，应以单独篇章或文件，予以说明和报价。</w:t>
      </w:r>
    </w:p>
    <w:p w14:paraId="7273498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、请投标方仔细阅读“采购货物概况”章节内说明，针对允许分投分中的货物，招标方有权利选择其中优秀设备或服务，作为投标方合同供货范围中的指定选用设备或服务（替代投标方分投而未中标部分）。</w:t>
      </w:r>
    </w:p>
    <w:p w14:paraId="7AFE77B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、招标文件、投标文件、答疑文件、技术交流文件、技术协议书等，在采购过程全部为有效文件，如有差异，以对招标方最有利的条款为准。</w:t>
      </w:r>
    </w:p>
    <w:p w14:paraId="1F7C1151">
      <w:pPr>
        <w:spacing w:line="360" w:lineRule="auto"/>
        <w:ind w:firstLine="480" w:firstLineChars="200"/>
        <w:rPr>
          <w:rFonts w:hint="eastAsia" w:hAnsi="宋体" w:eastAsia="宋体" w:cs="Times New Roman"/>
          <w:b/>
          <w:color w:val="000000"/>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、为避免歧异，本技术标书涉及招投标环节的条款，均将潜在的卖方称为投标方、将买方称为招标方；定标后合同签署环节以及后续的合同执行环节条款，招标方称为买方、投标方中的中标方称为卖方。</w:t>
      </w:r>
    </w:p>
    <w:bookmarkEnd w:id="32"/>
    <w:p w14:paraId="7F8F74A7">
      <w:pPr>
        <w:pStyle w:val="160"/>
        <w:rPr>
          <w:b/>
          <w:bCs/>
        </w:rPr>
        <w:sectPr>
          <w:pgSz w:w="11906" w:h="16838"/>
          <w:pgMar w:top="1588" w:right="1418" w:bottom="1134" w:left="1418" w:header="851" w:footer="992" w:gutter="0"/>
          <w:pgNumType w:fmt="numberInDash"/>
          <w:cols w:space="720" w:num="1"/>
          <w:titlePg/>
          <w:docGrid w:type="lines" w:linePitch="312" w:charSpace="0"/>
        </w:sectPr>
      </w:pPr>
    </w:p>
    <w:p w14:paraId="5871DF53">
      <w:pPr>
        <w:pStyle w:val="157"/>
      </w:pPr>
      <w:bookmarkStart w:id="57" w:name="_Toc20595"/>
      <w:bookmarkStart w:id="58" w:name="_Toc47976609"/>
      <w:bookmarkStart w:id="59" w:name="_Toc12009"/>
      <w:r>
        <w:rPr>
          <w:rFonts w:hint="eastAsia"/>
        </w:rPr>
        <w:t>第三部分　合同主要条款</w:t>
      </w:r>
      <w:bookmarkEnd w:id="57"/>
      <w:bookmarkEnd w:id="58"/>
      <w:bookmarkEnd w:id="59"/>
    </w:p>
    <w:p w14:paraId="773DAAD2">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7F94AB8B">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4BA9B943">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3D6EBEBF">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17"/>
        <w:jc w:val="center"/>
      </w:pPr>
      <w:r>
        <w:rPr>
          <w:rFonts w:hint="eastAsia" w:hAnsi="宋体" w:eastAsia="宋体" w:cs="宋体"/>
          <w:b/>
          <w:sz w:val="24"/>
          <w:szCs w:val="24"/>
        </w:rPr>
        <w:t>（合同以双方最终签署的版本为准）</w:t>
      </w:r>
    </w:p>
    <w:p w14:paraId="2FD99DA6">
      <w:pPr>
        <w:spacing w:line="360" w:lineRule="auto"/>
        <w:jc w:val="both"/>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272D762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7385E1F3">
      <w:pPr>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
          <w:sz w:val="24"/>
          <w:szCs w:val="24"/>
          <w:u w:val="single"/>
          <w:lang w:val="en-US" w:eastAsia="zh-CN"/>
        </w:rPr>
        <w:br w:type="page"/>
      </w:r>
    </w:p>
    <w:p w14:paraId="5F7FEE93">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21D15530">
      <w:pPr>
        <w:spacing w:after="0"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8806B0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permStart w:id="0" w:edGrp="everyone"/>
      <w:r>
        <w:rPr>
          <w:rFonts w:hint="eastAsia" w:ascii="仿宋_GB2312" w:hAnsi="仿宋_GB2312" w:eastAsia="仿宋_GB2312" w:cs="仿宋_GB2312"/>
          <w:b/>
          <w:bCs/>
          <w:sz w:val="24"/>
          <w:szCs w:val="24"/>
          <w:u w:val="single"/>
        </w:rPr>
        <w:t>设备名称概括</w:t>
      </w:r>
      <w:permEnd w:id="0"/>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2D24A3E">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0" w:name="_Toc21324"/>
      <w:r>
        <w:rPr>
          <w:rFonts w:hint="eastAsia" w:ascii="黑体" w:hAnsi="黑体" w:eastAsia="黑体" w:cs="黑体"/>
          <w:b w:val="0"/>
          <w:iCs/>
          <w:kern w:val="2"/>
          <w:sz w:val="24"/>
          <w:szCs w:val="24"/>
          <w:lang w:val="en-US" w:eastAsia="zh-CN" w:bidi="ar-SA"/>
        </w:rPr>
        <w:t>1.合同设备标的</w:t>
      </w:r>
      <w:bookmarkEnd w:id="60"/>
    </w:p>
    <w:p w14:paraId="077CDF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permStart w:id="1" w:edGrp="everyone"/>
      <w:r>
        <w:rPr>
          <w:rFonts w:hint="eastAsia" w:ascii="仿宋_GB2312" w:hAnsi="仿宋_GB2312" w:eastAsia="仿宋_GB2312" w:cs="仿宋_GB2312"/>
          <w:b/>
          <w:bCs/>
          <w:sz w:val="24"/>
          <w:szCs w:val="24"/>
          <w:u w:val="single"/>
        </w:rPr>
        <w:t>合同项目名称</w:t>
      </w:r>
      <w:permEnd w:id="1"/>
      <w:r>
        <w:rPr>
          <w:rFonts w:hint="eastAsia" w:ascii="仿宋_GB2312" w:hAnsi="仿宋_GB2312" w:eastAsia="仿宋_GB2312" w:cs="仿宋_GB2312"/>
          <w:sz w:val="24"/>
          <w:szCs w:val="24"/>
        </w:rPr>
        <w:t>，买方向卖方购买设备一宗，详见附件《设备清单明细表》，本合同不含税总价为</w:t>
      </w:r>
      <w:permStart w:id="2" w:edGrp="everyone"/>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2"/>
      <w:r>
        <w:rPr>
          <w:rFonts w:hint="eastAsia" w:ascii="仿宋_GB2312" w:hAnsi="仿宋_GB2312" w:eastAsia="仿宋_GB2312" w:cs="仿宋_GB2312"/>
          <w:sz w:val="24"/>
          <w:szCs w:val="24"/>
        </w:rPr>
        <w:t>元，税额</w:t>
      </w:r>
      <w:permStart w:id="3" w:edGrp="everyone"/>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3"/>
      <w:r>
        <w:rPr>
          <w:rFonts w:hint="eastAsia" w:ascii="仿宋_GB2312" w:hAnsi="仿宋_GB2312" w:eastAsia="仿宋_GB2312" w:cs="仿宋_GB2312"/>
          <w:sz w:val="24"/>
          <w:szCs w:val="24"/>
        </w:rPr>
        <w:t>元，含税总价</w:t>
      </w:r>
      <w:permStart w:id="4" w:edGrp="everyone"/>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4"/>
      <w:r>
        <w:rPr>
          <w:rFonts w:hint="eastAsia" w:ascii="仿宋_GB2312" w:hAnsi="仿宋_GB2312" w:eastAsia="仿宋_GB2312" w:cs="仿宋_GB2312"/>
          <w:sz w:val="24"/>
          <w:szCs w:val="24"/>
        </w:rPr>
        <w:t>元（大写：</w:t>
      </w:r>
      <w:permStart w:id="5" w:edGrp="everyone"/>
      <w:r>
        <w:rPr>
          <w:rFonts w:hint="eastAsia" w:ascii="仿宋_GB2312" w:hAnsi="仿宋_GB2312" w:eastAsia="仿宋_GB2312" w:cs="仿宋_GB2312"/>
          <w:b/>
          <w:bCs/>
          <w:sz w:val="24"/>
          <w:szCs w:val="24"/>
          <w:u w:val="single"/>
        </w:rPr>
        <w:t>含税总价大写</w:t>
      </w:r>
      <w:permEnd w:id="5"/>
      <w:r>
        <w:rPr>
          <w:rFonts w:hint="eastAsia" w:ascii="仿宋_GB2312" w:hAnsi="仿宋_GB2312" w:eastAsia="仿宋_GB2312" w:cs="仿宋_GB2312"/>
          <w:sz w:val="24"/>
          <w:szCs w:val="24"/>
        </w:rPr>
        <w:t>）。</w:t>
      </w:r>
    </w:p>
    <w:p w14:paraId="3C4959E9">
      <w:pPr>
        <w:spacing w:after="0" w:line="360" w:lineRule="auto"/>
        <w:ind w:firstLine="480" w:firstLineChars="200"/>
        <w:rPr>
          <w:rFonts w:hint="eastAsia" w:ascii="方正小标宋简体" w:hAnsi="宋体" w:eastAsia="仿宋_GB2312" w:cs="Times New Roman"/>
          <w:sz w:val="24"/>
          <w:szCs w:val="24"/>
          <w:u w:val="thick"/>
          <w:lang w:eastAsia="zh-CN"/>
        </w:rPr>
      </w:pPr>
      <w:r>
        <w:rPr>
          <w:rFonts w:hint="eastAsia" w:ascii="仿宋_GB2312" w:hAnsi="宋体" w:eastAsia="仿宋_GB2312" w:cs="宋体"/>
          <w:sz w:val="24"/>
          <w:szCs w:val="24"/>
          <w:lang w:val="en-US" w:eastAsia="zh-CN"/>
        </w:rPr>
        <w:t>1.2</w:t>
      </w:r>
      <w:r>
        <w:rPr>
          <w:rFonts w:hint="eastAsia" w:ascii="仿宋_GB2312" w:hAnsi="宋体" w:eastAsia="仿宋_GB2312" w:cs="宋体"/>
          <w:sz w:val="24"/>
          <w:szCs w:val="24"/>
        </w:rPr>
        <w:t>交货方式</w:t>
      </w:r>
      <w:r>
        <w:rPr>
          <w:rFonts w:hint="eastAsia" w:ascii="仿宋_GB2312" w:hAnsi="宋体" w:eastAsia="仿宋_GB2312" w:cs="宋体"/>
          <w:bCs/>
          <w:sz w:val="24"/>
          <w:szCs w:val="24"/>
        </w:rPr>
        <w:t>：</w:t>
      </w:r>
      <w:permStart w:id="6" w:edGrp="everyone"/>
      <w:r>
        <w:rPr>
          <w:rFonts w:hint="eastAsia" w:ascii="仿宋_GB2312" w:hAnsi="宋体" w:eastAsia="仿宋_GB2312" w:cs="Times New Roman"/>
          <w:b/>
          <w:bCs/>
          <w:sz w:val="24"/>
          <w:szCs w:val="24"/>
          <w:u w:val="single"/>
        </w:rPr>
        <w:t>据实选择，可填写</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交钥匙方式</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指定地点交货</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自提</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lang w:val="en-US" w:eastAsia="zh-CN"/>
        </w:rPr>
        <w:t>任一方式</w:t>
      </w:r>
      <w:r>
        <w:rPr>
          <w:rFonts w:hint="eastAsia" w:ascii="仿宋_GB2312" w:hAnsi="宋体" w:eastAsia="仿宋_GB2312" w:cs="Times New Roman"/>
          <w:b/>
          <w:bCs/>
          <w:sz w:val="24"/>
          <w:szCs w:val="24"/>
          <w:u w:val="single"/>
        </w:rPr>
        <w:t>，其他情况请据实填写</w:t>
      </w:r>
      <w:permEnd w:id="6"/>
      <w:r>
        <w:rPr>
          <w:rFonts w:hint="eastAsia" w:ascii="仿宋_GB2312" w:hAnsi="宋体" w:eastAsia="仿宋_GB2312" w:cs="Times New Roman"/>
          <w:b/>
          <w:bCs/>
          <w:sz w:val="24"/>
          <w:szCs w:val="24"/>
          <w:u w:val="single"/>
          <w:lang w:eastAsia="zh-CN"/>
        </w:rPr>
        <w:t>。</w:t>
      </w:r>
    </w:p>
    <w:p w14:paraId="29A341A7">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1.3</w:t>
      </w:r>
      <w:r>
        <w:rPr>
          <w:rFonts w:hint="eastAsia" w:ascii="仿宋_GB2312" w:hAnsi="宋体" w:eastAsia="仿宋_GB2312" w:cs="宋体"/>
          <w:sz w:val="24"/>
          <w:szCs w:val="24"/>
        </w:rPr>
        <w:t>交货地点：</w:t>
      </w:r>
      <w:permStart w:id="7" w:edGrp="everyone"/>
      <w:r>
        <w:rPr>
          <w:rFonts w:hint="eastAsia" w:ascii="仿宋_GB2312" w:hAnsi="宋体" w:eastAsia="仿宋_GB2312" w:cs="宋体"/>
          <w:b/>
          <w:bCs/>
          <w:sz w:val="24"/>
          <w:szCs w:val="24"/>
          <w:u w:val="single"/>
        </w:rPr>
        <w:t>交货详细地址信息，除列明省市县/区外，</w:t>
      </w:r>
      <w:r>
        <w:rPr>
          <w:rFonts w:hint="eastAsia" w:ascii="仿宋_GB2312" w:hAnsi="宋体" w:eastAsia="仿宋_GB2312" w:cs="宋体"/>
          <w:b/>
          <w:bCs/>
          <w:sz w:val="24"/>
          <w:szCs w:val="24"/>
          <w:u w:val="single"/>
          <w:lang w:val="en-US" w:eastAsia="zh-CN"/>
        </w:rPr>
        <w:t>应</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val="en-US" w:eastAsia="zh-CN"/>
        </w:rPr>
        <w:t>至不致产生歧义的</w:t>
      </w:r>
      <w:r>
        <w:rPr>
          <w:rFonts w:hint="eastAsia" w:ascii="仿宋_GB2312" w:hAnsi="宋体" w:eastAsia="仿宋_GB2312" w:cs="宋体"/>
          <w:b/>
          <w:bCs/>
          <w:sz w:val="24"/>
          <w:szCs w:val="24"/>
          <w:u w:val="single"/>
        </w:rPr>
        <w:t>具体</w:t>
      </w:r>
      <w:r>
        <w:rPr>
          <w:rFonts w:hint="eastAsia" w:ascii="仿宋_GB2312" w:hAnsi="宋体" w:eastAsia="仿宋_GB2312" w:cs="宋体"/>
          <w:b/>
          <w:bCs/>
          <w:sz w:val="24"/>
          <w:szCs w:val="24"/>
          <w:u w:val="single"/>
          <w:lang w:val="en-US" w:eastAsia="zh-CN"/>
        </w:rPr>
        <w:t>位置指向</w:t>
      </w:r>
      <w:permEnd w:id="7"/>
      <w:r>
        <w:rPr>
          <w:rFonts w:hint="eastAsia" w:ascii="仿宋_GB2312" w:hAnsi="宋体" w:eastAsia="仿宋_GB2312" w:cs="宋体"/>
          <w:b/>
          <w:bCs/>
          <w:sz w:val="24"/>
          <w:szCs w:val="24"/>
          <w:u w:val="single"/>
          <w:lang w:eastAsia="zh-CN"/>
        </w:rPr>
        <w:t>。</w:t>
      </w:r>
      <w:r>
        <w:rPr>
          <w:rFonts w:hint="eastAsia" w:ascii="仿宋_GB2312" w:hAnsi="宋体" w:eastAsia="仿宋_GB2312" w:cs="宋体"/>
          <w:sz w:val="24"/>
          <w:szCs w:val="24"/>
        </w:rPr>
        <w:t xml:space="preserve">    </w:t>
      </w:r>
    </w:p>
    <w:p w14:paraId="347CCF57">
      <w:pPr>
        <w:spacing w:after="0" w:line="360" w:lineRule="auto"/>
        <w:ind w:firstLine="480" w:firstLineChars="200"/>
        <w:rPr>
          <w:rFonts w:ascii="方正小标宋简体" w:hAnsi="宋体" w:eastAsia="仿宋_GB2312" w:cs="Times New Roman"/>
          <w:sz w:val="24"/>
          <w:szCs w:val="24"/>
          <w:u w:val="thick"/>
        </w:rPr>
      </w:pPr>
      <w:r>
        <w:rPr>
          <w:rFonts w:hint="eastAsia" w:ascii="仿宋_GB2312" w:hAnsi="宋体" w:eastAsia="仿宋_GB2312" w:cs="宋体"/>
          <w:sz w:val="24"/>
          <w:szCs w:val="24"/>
          <w:lang w:val="en-US" w:eastAsia="zh-CN"/>
        </w:rPr>
        <w:t>1.4</w:t>
      </w:r>
      <w:r>
        <w:rPr>
          <w:rFonts w:hint="eastAsia" w:ascii="仿宋_GB2312" w:hAnsi="宋体" w:eastAsia="仿宋_GB2312" w:cs="宋体"/>
          <w:sz w:val="24"/>
          <w:szCs w:val="24"/>
        </w:rPr>
        <w:t>到货时间：</w:t>
      </w:r>
      <w:permStart w:id="8" w:edGrp="everyone"/>
      <w:r>
        <w:rPr>
          <w:rFonts w:hint="eastAsia" w:ascii="仿宋_GB2312" w:hAnsi="宋体" w:eastAsia="仿宋_GB2312" w:cs="宋体"/>
          <w:b/>
          <w:bCs/>
          <w:sz w:val="24"/>
          <w:szCs w:val="24"/>
          <w:u w:val="single"/>
        </w:rPr>
        <w:t>填写具体年月日。存在分批次到货情形</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8"/>
      <w:r>
        <w:rPr>
          <w:rFonts w:hint="eastAsia" w:ascii="仿宋_GB2312" w:hAnsi="宋体" w:eastAsia="仿宋_GB2312" w:cs="宋体"/>
          <w:b/>
          <w:bCs/>
          <w:sz w:val="24"/>
          <w:szCs w:val="24"/>
          <w:u w:val="single"/>
          <w:lang w:eastAsia="zh-CN"/>
        </w:rPr>
        <w:t>。</w:t>
      </w:r>
    </w:p>
    <w:p w14:paraId="2C887D45">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lang w:val="en-US" w:eastAsia="zh-CN" w:bidi="ar-SA"/>
        </w:rPr>
        <w:t>1.5</w:t>
      </w:r>
      <w:r>
        <w:rPr>
          <w:rFonts w:ascii="仿宋_GB2312" w:hAnsi="宋体" w:eastAsia="仿宋_GB2312" w:cs="宋体"/>
          <w:kern w:val="2"/>
          <w:sz w:val="24"/>
          <w:szCs w:val="24"/>
          <w:lang w:val="en-US" w:eastAsia="zh-CN" w:bidi="ar-SA"/>
        </w:rPr>
        <w:t xml:space="preserve"> </w:t>
      </w:r>
      <w:r>
        <w:rPr>
          <w:rFonts w:hint="eastAsia" w:ascii="仿宋_GB2312" w:hAnsi="宋体" w:eastAsia="仿宋_GB2312" w:cs="宋体"/>
          <w:kern w:val="2"/>
          <w:sz w:val="24"/>
          <w:szCs w:val="24"/>
          <w:lang w:val="en-US" w:eastAsia="zh-CN" w:bidi="ar-SA"/>
        </w:rPr>
        <w:t>安装调试时长：</w:t>
      </w:r>
      <w:r>
        <w:rPr>
          <w:rFonts w:ascii="仿宋_GB2312" w:hAnsi="宋体" w:eastAsia="仿宋_GB2312" w:cs="宋体"/>
          <w:kern w:val="2"/>
          <w:sz w:val="24"/>
          <w:szCs w:val="24"/>
          <w:lang w:val="en-US" w:eastAsia="zh-CN" w:bidi="ar-SA"/>
        </w:rPr>
        <w:t>卖方须在到货后</w:t>
      </w:r>
      <w:permStart w:id="9" w:edGrp="everyone"/>
      <w:r>
        <w:rPr>
          <w:rFonts w:hint="eastAsia" w:ascii="仿宋_GB2312" w:hAnsi="宋体" w:eastAsia="仿宋_GB2312" w:cs="宋体"/>
          <w:b/>
          <w:bCs/>
          <w:kern w:val="0"/>
          <w:sz w:val="24"/>
          <w:szCs w:val="24"/>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kern w:val="0"/>
          <w:sz w:val="24"/>
          <w:szCs w:val="24"/>
          <w:lang w:val="en-US" w:eastAsia="zh-CN" w:bidi="ar-SA"/>
        </w:rPr>
        <w:t>个日历日</w:t>
      </w:r>
      <w:r>
        <w:rPr>
          <w:rFonts w:hint="eastAsia" w:ascii="仿宋_GB2312" w:hAnsi="宋体" w:eastAsia="仿宋_GB2312" w:cs="宋体"/>
          <w:kern w:val="2"/>
          <w:sz w:val="24"/>
          <w:szCs w:val="24"/>
          <w:lang w:val="en-US" w:eastAsia="zh-CN" w:bidi="ar-SA"/>
        </w:rPr>
        <w:t>内完成设备安装，</w:t>
      </w:r>
      <w:r>
        <w:rPr>
          <w:rFonts w:hint="eastAsia" w:ascii="仿宋_GB2312" w:hAnsi="宋体" w:eastAsia="仿宋_GB2312" w:cs="宋体"/>
          <w:kern w:val="2"/>
          <w:sz w:val="24"/>
          <w:szCs w:val="24"/>
          <w:highlight w:val="none"/>
          <w:lang w:val="en-US" w:eastAsia="zh-CN" w:bidi="ar-SA"/>
        </w:rPr>
        <w:t>安装完成后</w:t>
      </w:r>
      <w:permStart w:id="10" w:edGrp="everyone"/>
      <w:r>
        <w:rPr>
          <w:rFonts w:hint="eastAsia" w:ascii="仿宋_GB2312" w:hAnsi="宋体" w:eastAsia="仿宋_GB2312" w:cs="宋体"/>
          <w:b/>
          <w:bCs/>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kern w:val="2"/>
          <w:sz w:val="24"/>
          <w:szCs w:val="24"/>
          <w:highlight w:val="none"/>
          <w:lang w:val="en-US" w:eastAsia="zh-CN" w:bidi="ar-SA"/>
        </w:rPr>
        <w:t>日历日内完成设备调试。</w:t>
      </w:r>
    </w:p>
    <w:p w14:paraId="7BAFB3D3">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highlight w:val="none"/>
          <w:lang w:val="en-US" w:eastAsia="zh-CN" w:bidi="ar-SA"/>
        </w:rPr>
        <w:t>调试完成。</w:t>
      </w:r>
    </w:p>
    <w:p w14:paraId="4A7139D4">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1.6调试消耗产品数量：</w:t>
      </w:r>
      <w:r>
        <w:rPr>
          <w:rFonts w:ascii="仿宋_GB2312" w:hAnsi="宋体" w:eastAsia="仿宋_GB2312" w:cs="宋体"/>
          <w:sz w:val="24"/>
          <w:szCs w:val="24"/>
        </w:rPr>
        <w:t>若设备安装、调试过程中需使用买方产品的，买方提供调试所用产品数量</w:t>
      </w:r>
      <w:permStart w:id="11" w:edGrp="everyone"/>
      <w:r>
        <w:rPr>
          <w:rFonts w:hint="eastAsia" w:ascii="仿宋_GB2312" w:hAnsi="宋体" w:eastAsia="仿宋_GB2312" w:cs="宋体"/>
          <w:b/>
          <w:bCs/>
          <w:sz w:val="24"/>
          <w:szCs w:val="24"/>
          <w:u w:val="single"/>
        </w:rPr>
        <w:t>甲方提供调试产品</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件数，不</w:t>
      </w:r>
      <w:r>
        <w:rPr>
          <w:rFonts w:hint="eastAsia" w:ascii="仿宋_GB2312" w:hAnsi="宋体" w:eastAsia="仿宋_GB2312" w:cs="宋体"/>
          <w:b/>
          <w:bCs/>
          <w:sz w:val="24"/>
          <w:szCs w:val="24"/>
          <w:u w:val="single"/>
          <w:lang w:val="en-US" w:eastAsia="zh-CN"/>
        </w:rPr>
        <w:t>需要的</w:t>
      </w:r>
      <w:r>
        <w:rPr>
          <w:rFonts w:hint="eastAsia" w:ascii="仿宋_GB2312" w:hAnsi="宋体" w:eastAsia="仿宋_GB2312" w:cs="宋体"/>
          <w:b/>
          <w:bCs/>
          <w:sz w:val="24"/>
          <w:szCs w:val="24"/>
          <w:u w:val="single"/>
        </w:rPr>
        <w:t>，</w:t>
      </w:r>
      <w:r>
        <w:rPr>
          <w:rFonts w:hint="eastAsia" w:ascii="仿宋_GB2312" w:hAnsi="宋体" w:eastAsia="仿宋_GB2312" w:cs="宋体"/>
          <w:b/>
          <w:bCs/>
          <w:sz w:val="24"/>
          <w:szCs w:val="24"/>
          <w:u w:val="single"/>
          <w:lang w:val="en-US" w:eastAsia="zh-CN"/>
        </w:rPr>
        <w:t>此处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0</w:t>
      </w:r>
      <w:r>
        <w:rPr>
          <w:rFonts w:hint="eastAsia" w:ascii="仿宋_GB2312" w:hAnsi="宋体" w:eastAsia="仿宋_GB2312" w:cs="宋体"/>
          <w:b/>
          <w:bCs/>
          <w:sz w:val="24"/>
          <w:szCs w:val="24"/>
          <w:u w:val="single"/>
          <w:lang w:eastAsia="zh-CN"/>
        </w:rPr>
        <w:t>”</w:t>
      </w:r>
      <w:permEnd w:id="11"/>
      <w:r>
        <w:rPr>
          <w:rFonts w:ascii="仿宋_GB2312" w:hAnsi="宋体" w:eastAsia="仿宋_GB2312" w:cs="宋体"/>
          <w:sz w:val="24"/>
          <w:szCs w:val="24"/>
        </w:rPr>
        <w:t>件，超出此数量部分由卖方提供，由此产生的相关费用由卖方承担。</w:t>
      </w:r>
    </w:p>
    <w:p w14:paraId="45153F52">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1.7</w:t>
      </w:r>
      <w:r>
        <w:rPr>
          <w:rFonts w:hint="eastAsia" w:ascii="仿宋_GB2312" w:hAnsi="黑体" w:eastAsia="仿宋_GB2312" w:cs="宋体"/>
          <w:sz w:val="24"/>
          <w:szCs w:val="24"/>
        </w:rPr>
        <w:t>设备质量保证期：自最终验收报告签署之日（</w:t>
      </w:r>
      <w:r>
        <w:rPr>
          <w:rFonts w:hint="eastAsia" w:ascii="仿宋_GB2312" w:hAnsi="黑体" w:eastAsia="仿宋_GB2312" w:cs="宋体"/>
          <w:sz w:val="24"/>
          <w:szCs w:val="24"/>
          <w:lang w:val="en-US" w:eastAsia="zh-CN"/>
        </w:rPr>
        <w:t>存在分批次到货安装调试情形的，</w:t>
      </w:r>
      <w:r>
        <w:rPr>
          <w:rFonts w:hint="eastAsia" w:ascii="仿宋_GB2312" w:hAnsi="黑体" w:eastAsia="仿宋_GB2312" w:cs="宋体"/>
          <w:sz w:val="24"/>
          <w:szCs w:val="24"/>
        </w:rPr>
        <w:t>以</w:t>
      </w:r>
      <w:r>
        <w:rPr>
          <w:rFonts w:hint="eastAsia" w:ascii="仿宋_GB2312" w:hAnsi="黑体" w:eastAsia="仿宋_GB2312" w:cs="宋体"/>
          <w:sz w:val="24"/>
          <w:szCs w:val="24"/>
          <w:lang w:val="en-US" w:eastAsia="zh-CN"/>
        </w:rPr>
        <w:t>验收报告</w:t>
      </w:r>
      <w:r>
        <w:rPr>
          <w:rFonts w:hint="eastAsia" w:ascii="仿宋_GB2312" w:hAnsi="黑体" w:eastAsia="仿宋_GB2312" w:cs="宋体"/>
          <w:sz w:val="24"/>
          <w:szCs w:val="24"/>
        </w:rPr>
        <w:t>签署日期最晚者为准）起</w:t>
      </w:r>
      <w:permStart w:id="12" w:edGrp="everyone"/>
      <w:r>
        <w:rPr>
          <w:rFonts w:hint="eastAsia" w:ascii="仿宋_GB2312" w:hAnsi="宋体" w:eastAsia="仿宋_GB2312" w:cs="宋体"/>
          <w:b/>
          <w:bCs/>
          <w:sz w:val="24"/>
          <w:szCs w:val="24"/>
          <w:u w:val="single"/>
        </w:rPr>
        <w:t>卖方承诺的质保期月数</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rPr>
        <w:t>存在</w:t>
      </w:r>
      <w:r>
        <w:rPr>
          <w:rFonts w:hint="eastAsia" w:ascii="仿宋_GB2312" w:hAnsi="宋体" w:eastAsia="仿宋_GB2312" w:cs="宋体"/>
          <w:b/>
          <w:bCs/>
          <w:sz w:val="24"/>
          <w:szCs w:val="24"/>
          <w:u w:val="single"/>
          <w:lang w:val="en-US" w:eastAsia="zh-CN"/>
        </w:rPr>
        <w:t>分批次设备质保期约定分批次到期情形的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12"/>
      <w:r>
        <w:rPr>
          <w:rFonts w:hint="eastAsia" w:ascii="仿宋_GB2312" w:hAnsi="宋体" w:eastAsia="仿宋_GB2312" w:cs="宋体"/>
          <w:sz w:val="24"/>
          <w:szCs w:val="24"/>
        </w:rPr>
        <w:t>个月</w:t>
      </w:r>
      <w:r>
        <w:rPr>
          <w:rFonts w:hint="eastAsia" w:ascii="仿宋_GB2312" w:hAnsi="黑体" w:eastAsia="仿宋_GB2312" w:cs="宋体"/>
          <w:sz w:val="24"/>
          <w:szCs w:val="24"/>
        </w:rPr>
        <w:t>。</w:t>
      </w:r>
    </w:p>
    <w:p w14:paraId="216CBDD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1" w:name="_Toc12732"/>
      <w:r>
        <w:rPr>
          <w:rFonts w:hint="eastAsia" w:ascii="黑体" w:hAnsi="黑体" w:eastAsia="黑体" w:cs="黑体"/>
          <w:b w:val="0"/>
          <w:iCs/>
          <w:kern w:val="2"/>
          <w:sz w:val="24"/>
          <w:szCs w:val="24"/>
          <w:lang w:val="en-US" w:eastAsia="zh-CN" w:bidi="ar-SA"/>
        </w:rPr>
        <w:t>2.结算付款约定</w:t>
      </w:r>
      <w:bookmarkEnd w:id="61"/>
    </w:p>
    <w:p w14:paraId="32D085B5">
      <w:pPr>
        <w:spacing w:after="0" w:line="360" w:lineRule="auto"/>
        <w:ind w:firstLine="480" w:firstLineChars="200"/>
        <w:rPr>
          <w:rFonts w:hint="eastAsia" w:ascii="仿宋_GB2312" w:hAnsi="黑体" w:eastAsia="仿宋_GB2312" w:cs="宋体"/>
          <w:b/>
          <w:bCs/>
          <w:sz w:val="24"/>
          <w:szCs w:val="24"/>
          <w:u w:val="single"/>
          <w:lang w:eastAsia="zh-CN"/>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.1结算方式：</w:t>
      </w:r>
      <w:permStart w:id="13" w:edGrp="everyone"/>
      <w:r>
        <w:rPr>
          <w:rFonts w:hint="eastAsia" w:ascii="仿宋_GB2312" w:hAnsi="黑体" w:eastAsia="仿宋_GB2312" w:cs="宋体"/>
          <w:b/>
          <w:bCs/>
          <w:sz w:val="24"/>
          <w:szCs w:val="24"/>
          <w:u w:val="single"/>
        </w:rPr>
        <w:t>填写</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rPr>
        <w:t>半年期商业汇票（包括银行承兑汇票和商业承兑汇票）</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转账</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财司内转</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三种方式</w:t>
      </w:r>
      <w:r>
        <w:rPr>
          <w:rFonts w:hint="eastAsia" w:ascii="仿宋_GB2312" w:hAnsi="黑体" w:eastAsia="仿宋_GB2312" w:cs="宋体"/>
          <w:b/>
          <w:bCs/>
          <w:sz w:val="24"/>
          <w:szCs w:val="24"/>
          <w:u w:val="single"/>
        </w:rPr>
        <w:t>任一种</w:t>
      </w:r>
      <w:permEnd w:id="13"/>
      <w:r>
        <w:rPr>
          <w:rFonts w:hint="eastAsia" w:ascii="仿宋_GB2312" w:hAnsi="黑体" w:eastAsia="仿宋_GB2312" w:cs="宋体"/>
          <w:b/>
          <w:bCs/>
          <w:sz w:val="24"/>
          <w:szCs w:val="24"/>
          <w:u w:val="single"/>
          <w:lang w:eastAsia="zh-CN"/>
        </w:rPr>
        <w:t>。</w:t>
      </w:r>
    </w:p>
    <w:p w14:paraId="65DE910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permStart w:id="14" w:edGrp="everyone"/>
      <w:r>
        <w:rPr>
          <w:rFonts w:hint="eastAsia" w:ascii="仿宋_GB2312" w:hAnsi="仿宋_GB2312" w:eastAsia="仿宋_GB2312" w:cs="仿宋_GB2312"/>
          <w:b/>
          <w:bCs/>
          <w:sz w:val="24"/>
          <w:szCs w:val="24"/>
          <w:u w:val="single"/>
        </w:rPr>
        <w:t>币种</w:t>
      </w:r>
      <w:permEnd w:id="14"/>
      <w:r>
        <w:rPr>
          <w:rFonts w:hint="eastAsia" w:ascii="仿宋_GB2312" w:hAnsi="仿宋_GB2312" w:eastAsia="仿宋_GB2312" w:cs="仿宋_GB2312"/>
          <w:sz w:val="24"/>
          <w:szCs w:val="24"/>
        </w:rPr>
        <w:t>进行结算。</w:t>
      </w:r>
    </w:p>
    <w:p w14:paraId="580CCD56">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合同价款支付：</w:t>
      </w:r>
    </w:p>
    <w:p w14:paraId="7A515493">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w:t>
      </w:r>
      <w:permStart w:id="15" w:edGrp="everyone"/>
      <w:r>
        <w:rPr>
          <w:rFonts w:hint="eastAsia" w:ascii="仿宋_GB2312" w:hAnsi="黑体" w:eastAsia="仿宋_GB2312" w:cs="宋体"/>
          <w:b/>
          <w:bCs/>
          <w:sz w:val="24"/>
          <w:szCs w:val="24"/>
          <w:u w:val="single"/>
        </w:rPr>
        <w:t>填写第</w:t>
      </w:r>
      <w:r>
        <w:rPr>
          <w:rFonts w:hint="eastAsia" w:ascii="仿宋_GB2312" w:hAnsi="黑体" w:eastAsia="仿宋_GB2312" w:cs="宋体"/>
          <w:b/>
          <w:bCs/>
          <w:sz w:val="24"/>
          <w:szCs w:val="24"/>
          <w:u w:val="single"/>
          <w:lang w:val="en-US" w:eastAsia="zh-CN"/>
        </w:rPr>
        <w:t>一</w:t>
      </w:r>
      <w:r>
        <w:rPr>
          <w:rFonts w:hint="eastAsia" w:ascii="仿宋_GB2312" w:hAnsi="黑体" w:eastAsia="仿宋_GB2312" w:cs="宋体"/>
          <w:b/>
          <w:bCs/>
          <w:sz w:val="24"/>
          <w:szCs w:val="24"/>
          <w:u w:val="single"/>
        </w:rPr>
        <w:t>笔付款的满足要件，如</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rPr>
        <w:t>设备全部到齐无质量问题，经安装、调试最终验收合格后</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lang w:val="en-US" w:eastAsia="zh-CN"/>
        </w:rPr>
        <w:t>若存在价款支付的发票及财务审核条件与本条格式条款存有变动调整的，须在</w:t>
      </w:r>
      <w:r>
        <w:rPr>
          <w:rFonts w:hint="eastAsia" w:ascii="仿宋_GB2312" w:hAnsi="宋体" w:eastAsia="仿宋_GB2312" w:cs="宋体"/>
          <w:b/>
          <w:bCs/>
          <w:sz w:val="24"/>
          <w:szCs w:val="24"/>
          <w:u w:val="single"/>
          <w:lang w:val="en-US" w:eastAsia="zh-CN"/>
        </w:rPr>
        <w:t>专用条款第4条</w:t>
      </w:r>
      <w:r>
        <w:rPr>
          <w:rFonts w:hint="eastAsia" w:ascii="仿宋_GB2312" w:hAnsi="黑体" w:eastAsia="仿宋_GB2312" w:cs="宋体"/>
          <w:b/>
          <w:bCs/>
          <w:sz w:val="24"/>
          <w:szCs w:val="24"/>
          <w:u w:val="single"/>
          <w:lang w:val="en-US" w:eastAsia="zh-CN"/>
        </w:rPr>
        <w:t>特殊约定条款中特别约定</w:t>
      </w:r>
      <w:permEnd w:id="15"/>
      <w:r>
        <w:rPr>
          <w:rFonts w:hint="eastAsia" w:ascii="仿宋_GB2312" w:hAnsi="黑体" w:eastAsia="仿宋_GB2312" w:cs="宋体"/>
          <w:sz w:val="24"/>
          <w:szCs w:val="24"/>
        </w:rPr>
        <w:t>,卖方提交金额为合同含税</w:t>
      </w:r>
      <w:r>
        <w:rPr>
          <w:rFonts w:hint="eastAsia" w:ascii="仿宋_GB2312" w:hAnsi="黑体" w:eastAsia="仿宋_GB2312" w:cs="宋体"/>
          <w:sz w:val="24"/>
          <w:szCs w:val="24"/>
          <w:lang w:val="en-US" w:eastAsia="zh-CN"/>
        </w:rPr>
        <w:t>总</w:t>
      </w:r>
      <w:r>
        <w:rPr>
          <w:rFonts w:hint="eastAsia" w:ascii="仿宋_GB2312" w:hAnsi="黑体" w:eastAsia="仿宋_GB2312" w:cs="宋体"/>
          <w:sz w:val="24"/>
          <w:szCs w:val="24"/>
        </w:rPr>
        <w:t>价款</w:t>
      </w:r>
      <w:permStart w:id="16" w:edGrp="everyone"/>
      <w:r>
        <w:rPr>
          <w:rFonts w:hint="eastAsia" w:ascii="仿宋_GB2312" w:hAnsi="黑体" w:eastAsia="仿宋_GB2312" w:cs="宋体"/>
          <w:b/>
          <w:bCs/>
          <w:sz w:val="24"/>
          <w:szCs w:val="24"/>
          <w:u w:val="single"/>
        </w:rPr>
        <w:t>第一笔付款的比例，数值</w:t>
      </w:r>
      <w:permEnd w:id="16"/>
      <w:r>
        <w:rPr>
          <w:rFonts w:hint="eastAsia" w:ascii="仿宋_GB2312" w:hAnsi="黑体" w:eastAsia="仿宋_GB2312" w:cs="宋体"/>
          <w:sz w:val="24"/>
          <w:szCs w:val="24"/>
        </w:rPr>
        <w:t>%即</w:t>
      </w:r>
      <w:permStart w:id="17" w:edGrp="everyone"/>
      <w:r>
        <w:rPr>
          <w:rFonts w:hint="eastAsia" w:ascii="仿宋_GB2312" w:hAnsi="黑体" w:eastAsia="仿宋_GB2312" w:cs="宋体"/>
          <w:b/>
          <w:bCs/>
          <w:sz w:val="24"/>
          <w:szCs w:val="24"/>
          <w:u w:val="single"/>
        </w:rPr>
        <w:t>第一笔付款金额</w:t>
      </w:r>
      <w:permEnd w:id="17"/>
      <w:r>
        <w:rPr>
          <w:rFonts w:hint="eastAsia" w:ascii="仿宋_GB2312" w:hAnsi="黑体" w:eastAsia="仿宋_GB2312" w:cs="宋体"/>
          <w:sz w:val="24"/>
          <w:szCs w:val="24"/>
        </w:rPr>
        <w:t>元的</w:t>
      </w:r>
      <w:r>
        <w:rPr>
          <w:rFonts w:hint="eastAsia" w:ascii="仿宋_GB2312" w:hAnsi="黑体" w:eastAsia="仿宋_GB2312" w:cs="宋体"/>
          <w:sz w:val="24"/>
          <w:szCs w:val="24"/>
          <w:lang w:val="en-US" w:eastAsia="zh-CN"/>
        </w:rPr>
        <w:t>合同全额增值税专用发票</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买</w:t>
      </w:r>
      <w:r>
        <w:rPr>
          <w:rFonts w:hint="eastAsia" w:ascii="仿宋_GB2312" w:hAnsi="黑体" w:eastAsia="仿宋_GB2312" w:cs="宋体"/>
          <w:sz w:val="24"/>
          <w:szCs w:val="24"/>
        </w:rPr>
        <w:t>方收到</w:t>
      </w:r>
      <w:r>
        <w:rPr>
          <w:rFonts w:hint="eastAsia" w:ascii="仿宋_GB2312" w:hAnsi="黑体" w:eastAsia="仿宋_GB2312" w:cs="宋体"/>
          <w:sz w:val="24"/>
          <w:szCs w:val="24"/>
          <w:lang w:val="en-US" w:eastAsia="zh-CN"/>
        </w:rPr>
        <w:t>卖</w:t>
      </w:r>
      <w:r>
        <w:rPr>
          <w:rFonts w:hint="eastAsia" w:ascii="仿宋_GB2312" w:hAnsi="黑体" w:eastAsia="仿宋_GB2312" w:cs="宋体"/>
          <w:sz w:val="24"/>
          <w:szCs w:val="24"/>
        </w:rPr>
        <w:t>方提供的</w:t>
      </w:r>
      <w:r>
        <w:rPr>
          <w:rFonts w:hint="eastAsia" w:ascii="仿宋_GB2312" w:hAnsi="黑体" w:eastAsia="仿宋_GB2312" w:cs="宋体"/>
          <w:sz w:val="24"/>
          <w:szCs w:val="24"/>
          <w:lang w:val="en-US" w:eastAsia="zh-CN"/>
        </w:rPr>
        <w:t>合同全额</w:t>
      </w:r>
      <w:r>
        <w:rPr>
          <w:rFonts w:hint="eastAsia" w:ascii="仿宋_GB2312" w:hAnsi="黑体" w:eastAsia="仿宋_GB2312" w:cs="宋体"/>
          <w:sz w:val="24"/>
          <w:szCs w:val="24"/>
        </w:rPr>
        <w:t>增值税专用发票及完整报账材料后提交报账流程</w:t>
      </w:r>
      <w:r>
        <w:rPr>
          <w:rFonts w:hint="eastAsia" w:ascii="仿宋_GB2312" w:hAnsi="黑体" w:eastAsia="仿宋_GB2312" w:cs="宋体"/>
          <w:sz w:val="24"/>
          <w:szCs w:val="24"/>
          <w:lang w:eastAsia="zh-CN"/>
        </w:rPr>
        <w:t>，</w:t>
      </w:r>
      <w:r>
        <w:rPr>
          <w:rFonts w:hint="eastAsia" w:ascii="仿宋_GB2312" w:hAnsi="黑体" w:eastAsia="仿宋_GB2312" w:cs="宋体"/>
          <w:sz w:val="24"/>
          <w:szCs w:val="24"/>
        </w:rPr>
        <w:t>经买方财务审核无误后按照</w:t>
      </w:r>
      <w:permStart w:id="18" w:edGrp="everyone"/>
      <w:r>
        <w:rPr>
          <w:rFonts w:hint="eastAsia" w:ascii="仿宋_GB2312" w:hAnsi="黑体" w:eastAsia="仿宋_GB2312" w:cs="宋体"/>
          <w:b/>
          <w:bCs/>
          <w:sz w:val="24"/>
          <w:szCs w:val="24"/>
          <w:u w:val="single"/>
        </w:rPr>
        <w:t>约定的财务付款条件</w:t>
      </w:r>
      <w:permEnd w:id="18"/>
      <w:r>
        <w:rPr>
          <w:rFonts w:hint="eastAsia" w:ascii="仿宋_GB2312" w:hAnsi="黑体" w:eastAsia="仿宋_GB2312" w:cs="宋体"/>
          <w:sz w:val="24"/>
          <w:szCs w:val="24"/>
        </w:rPr>
        <w:t>执行。</w:t>
      </w:r>
    </w:p>
    <w:p w14:paraId="486AF78B">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合同含税总价款的</w:t>
      </w:r>
      <w:permStart w:id="19"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笔付款的比例，数值</w:t>
      </w:r>
      <w:permEnd w:id="19"/>
      <w:r>
        <w:rPr>
          <w:rFonts w:hint="eastAsia" w:ascii="仿宋_GB2312" w:hAnsi="黑体" w:eastAsia="仿宋_GB2312" w:cs="宋体"/>
          <w:sz w:val="24"/>
          <w:szCs w:val="24"/>
        </w:rPr>
        <w:t>%即</w:t>
      </w:r>
      <w:permStart w:id="20"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笔付款金额</w:t>
      </w:r>
      <w:permEnd w:id="20"/>
      <w:r>
        <w:rPr>
          <w:rFonts w:hint="eastAsia" w:ascii="仿宋_GB2312" w:hAnsi="黑体" w:eastAsia="仿宋_GB2312" w:cs="宋体"/>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宋体"/>
          <w:sz w:val="24"/>
          <w:szCs w:val="24"/>
          <w:lang w:val="en-US" w:eastAsia="zh-CN"/>
        </w:rPr>
        <w:t>质量保证金的收款凭证</w:t>
      </w:r>
      <w:r>
        <w:rPr>
          <w:rFonts w:hint="eastAsia" w:ascii="仿宋_GB2312" w:hAnsi="黑体" w:eastAsia="仿宋_GB2312" w:cs="宋体"/>
          <w:sz w:val="24"/>
          <w:szCs w:val="24"/>
        </w:rPr>
        <w:t>及设备使用单位的使用情况说明，经买方财务审核无误后按照</w:t>
      </w:r>
      <w:permStart w:id="21" w:edGrp="everyone"/>
      <w:r>
        <w:rPr>
          <w:rFonts w:hint="eastAsia" w:ascii="仿宋_GB2312" w:hAnsi="黑体" w:eastAsia="仿宋_GB2312" w:cs="宋体"/>
          <w:b/>
          <w:bCs/>
          <w:sz w:val="24"/>
          <w:szCs w:val="24"/>
          <w:u w:val="single"/>
        </w:rPr>
        <w:t>约定的财务付款条件</w:t>
      </w:r>
      <w:permEnd w:id="21"/>
      <w:r>
        <w:rPr>
          <w:rFonts w:hint="eastAsia" w:ascii="仿宋_GB2312" w:hAnsi="黑体" w:eastAsia="仿宋_GB2312" w:cs="宋体"/>
          <w:sz w:val="24"/>
          <w:szCs w:val="24"/>
        </w:rPr>
        <w:t>执行。如有质量问题，质量保证金予以相应扣除。</w:t>
      </w:r>
    </w:p>
    <w:p w14:paraId="358520E1">
      <w:pPr>
        <w:spacing w:after="0"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3708"/>
        <w:gridCol w:w="3708"/>
      </w:tblGrid>
      <w:tr w14:paraId="099E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24797D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0" w:type="auto"/>
            <w:vAlign w:val="bottom"/>
          </w:tcPr>
          <w:p w14:paraId="75CEE86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0" w:type="auto"/>
            <w:vAlign w:val="bottom"/>
          </w:tcPr>
          <w:p w14:paraId="693BAA9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B07D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872047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0" w:type="auto"/>
            <w:vAlign w:val="bottom"/>
          </w:tcPr>
          <w:p w14:paraId="7698683D">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2" w:edGrp="everyone"/>
            <w:r>
              <w:rPr>
                <w:rFonts w:hint="eastAsia" w:ascii="仿宋_GB2312" w:hAnsi="仿宋_GB2312" w:eastAsia="仿宋_GB2312" w:cs="仿宋_GB2312"/>
                <w:b/>
                <w:bCs/>
                <w:w w:val="90"/>
                <w:sz w:val="24"/>
                <w:szCs w:val="24"/>
                <w:u w:val="single"/>
                <w:vertAlign w:val="baseline"/>
                <w:lang w:val="en-US" w:eastAsia="zh-CN"/>
              </w:rPr>
              <w:t>甲方单位全称</w:t>
            </w:r>
            <w:permEnd w:id="22"/>
          </w:p>
        </w:tc>
        <w:tc>
          <w:tcPr>
            <w:tcW w:w="0" w:type="auto"/>
            <w:vAlign w:val="bottom"/>
          </w:tcPr>
          <w:p w14:paraId="5F702FC0">
            <w:pPr>
              <w:spacing w:after="200" w:line="360" w:lineRule="auto"/>
              <w:jc w:val="center"/>
              <w:rPr>
                <w:rFonts w:hint="eastAsia" w:ascii="仿宋_GB2312" w:hAnsi="仿宋_GB2312" w:eastAsia="仿宋_GB2312" w:cs="仿宋_GB2312"/>
                <w:w w:val="90"/>
                <w:sz w:val="24"/>
                <w:szCs w:val="24"/>
                <w:vertAlign w:val="baseline"/>
              </w:rPr>
            </w:pPr>
            <w:permStart w:id="23" w:edGrp="everyone"/>
            <w:r>
              <w:rPr>
                <w:rFonts w:hint="eastAsia" w:ascii="仿宋_GB2312" w:hAnsi="仿宋_GB2312" w:eastAsia="仿宋_GB2312" w:cs="仿宋_GB2312"/>
                <w:b/>
                <w:bCs/>
                <w:w w:val="90"/>
                <w:sz w:val="24"/>
                <w:szCs w:val="24"/>
                <w:u w:val="single"/>
                <w:vertAlign w:val="baseline"/>
                <w:lang w:val="en-US" w:eastAsia="zh-CN"/>
              </w:rPr>
              <w:t>乙方单位全称</w:t>
            </w:r>
            <w:permEnd w:id="23"/>
          </w:p>
        </w:tc>
      </w:tr>
      <w:tr w14:paraId="4BA8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0475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0" w:type="auto"/>
            <w:vAlign w:val="bottom"/>
          </w:tcPr>
          <w:p w14:paraId="046A2EE0">
            <w:pPr>
              <w:spacing w:after="200" w:line="360" w:lineRule="auto"/>
              <w:jc w:val="center"/>
              <w:rPr>
                <w:rFonts w:hint="default" w:ascii="仿宋_GB2312" w:hAnsi="仿宋_GB2312" w:eastAsia="仿宋_GB2312" w:cs="仿宋_GB2312"/>
                <w:w w:val="90"/>
                <w:sz w:val="24"/>
                <w:szCs w:val="24"/>
                <w:vertAlign w:val="baseline"/>
                <w:lang w:val="en-US"/>
              </w:rPr>
            </w:pPr>
            <w:permStart w:id="24" w:edGrp="everyone"/>
            <w:r>
              <w:rPr>
                <w:rFonts w:hint="eastAsia" w:ascii="仿宋_GB2312" w:hAnsi="仿宋_GB2312" w:eastAsia="仿宋_GB2312" w:cs="仿宋_GB2312"/>
                <w:b/>
                <w:bCs/>
                <w:w w:val="90"/>
                <w:sz w:val="24"/>
                <w:szCs w:val="24"/>
                <w:u w:val="single"/>
                <w:vertAlign w:val="baseline"/>
                <w:lang w:val="en-US" w:eastAsia="zh-CN"/>
              </w:rPr>
              <w:t>甲方注册地址，营业执照住所地</w:t>
            </w:r>
            <w:permEnd w:id="24"/>
          </w:p>
        </w:tc>
        <w:tc>
          <w:tcPr>
            <w:tcW w:w="0" w:type="auto"/>
            <w:vAlign w:val="bottom"/>
          </w:tcPr>
          <w:p w14:paraId="44C2DEE7">
            <w:pPr>
              <w:spacing w:after="200" w:line="360" w:lineRule="auto"/>
              <w:jc w:val="center"/>
              <w:rPr>
                <w:rFonts w:hint="eastAsia" w:ascii="仿宋_GB2312" w:hAnsi="仿宋_GB2312" w:eastAsia="仿宋_GB2312" w:cs="仿宋_GB2312"/>
                <w:w w:val="90"/>
                <w:sz w:val="24"/>
                <w:szCs w:val="24"/>
                <w:vertAlign w:val="baseline"/>
              </w:rPr>
            </w:pPr>
            <w:permStart w:id="25" w:edGrp="everyone"/>
            <w:r>
              <w:rPr>
                <w:rFonts w:hint="eastAsia" w:ascii="仿宋_GB2312" w:hAnsi="仿宋_GB2312" w:eastAsia="仿宋_GB2312" w:cs="仿宋_GB2312"/>
                <w:b/>
                <w:bCs/>
                <w:w w:val="90"/>
                <w:sz w:val="24"/>
                <w:szCs w:val="24"/>
                <w:u w:val="single"/>
                <w:vertAlign w:val="baseline"/>
                <w:lang w:val="en-US" w:eastAsia="zh-CN"/>
              </w:rPr>
              <w:t>乙方注册地址，营业执照住所地</w:t>
            </w:r>
            <w:permEnd w:id="25"/>
          </w:p>
        </w:tc>
      </w:tr>
      <w:tr w14:paraId="5464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134E0D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0" w:type="auto"/>
            <w:vAlign w:val="bottom"/>
          </w:tcPr>
          <w:p w14:paraId="0FD92C3F">
            <w:pPr>
              <w:spacing w:after="200" w:line="360" w:lineRule="auto"/>
              <w:jc w:val="center"/>
              <w:rPr>
                <w:rFonts w:hint="default" w:ascii="仿宋_GB2312" w:hAnsi="仿宋_GB2312" w:eastAsia="仿宋_GB2312" w:cs="仿宋_GB2312"/>
                <w:w w:val="90"/>
                <w:sz w:val="24"/>
                <w:szCs w:val="24"/>
                <w:vertAlign w:val="baseline"/>
                <w:lang w:val="en-US"/>
              </w:rPr>
            </w:pPr>
            <w:permStart w:id="26" w:edGrp="everyone"/>
            <w:r>
              <w:rPr>
                <w:rFonts w:hint="eastAsia" w:ascii="仿宋_GB2312" w:hAnsi="仿宋_GB2312" w:eastAsia="仿宋_GB2312" w:cs="仿宋_GB2312"/>
                <w:b/>
                <w:bCs/>
                <w:w w:val="90"/>
                <w:sz w:val="24"/>
                <w:szCs w:val="24"/>
                <w:u w:val="single"/>
                <w:vertAlign w:val="baseline"/>
                <w:lang w:val="en-US" w:eastAsia="zh-CN"/>
              </w:rPr>
              <w:t>甲方通讯地址，实际联系地址</w:t>
            </w:r>
            <w:permEnd w:id="26"/>
          </w:p>
        </w:tc>
        <w:tc>
          <w:tcPr>
            <w:tcW w:w="0" w:type="auto"/>
            <w:vAlign w:val="bottom"/>
          </w:tcPr>
          <w:p w14:paraId="17993BD7">
            <w:pPr>
              <w:spacing w:after="200" w:line="360" w:lineRule="auto"/>
              <w:jc w:val="center"/>
              <w:rPr>
                <w:rFonts w:hint="eastAsia" w:ascii="仿宋_GB2312" w:hAnsi="仿宋_GB2312" w:eastAsia="仿宋_GB2312" w:cs="仿宋_GB2312"/>
                <w:w w:val="90"/>
                <w:sz w:val="24"/>
                <w:szCs w:val="24"/>
                <w:vertAlign w:val="baseline"/>
              </w:rPr>
            </w:pPr>
            <w:permStart w:id="27" w:edGrp="everyone"/>
            <w:r>
              <w:rPr>
                <w:rFonts w:hint="eastAsia" w:ascii="仿宋_GB2312" w:hAnsi="仿宋_GB2312" w:eastAsia="仿宋_GB2312" w:cs="仿宋_GB2312"/>
                <w:b/>
                <w:bCs/>
                <w:w w:val="90"/>
                <w:sz w:val="24"/>
                <w:szCs w:val="24"/>
                <w:u w:val="single"/>
                <w:vertAlign w:val="baseline"/>
                <w:lang w:val="en-US" w:eastAsia="zh-CN"/>
              </w:rPr>
              <w:t>乙方通讯地址，实际联系地址</w:t>
            </w:r>
            <w:permEnd w:id="27"/>
          </w:p>
        </w:tc>
      </w:tr>
      <w:tr w14:paraId="5430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F74712F">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0" w:type="auto"/>
            <w:vAlign w:val="bottom"/>
          </w:tcPr>
          <w:p w14:paraId="3537678F">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8" w:edGrp="everyone"/>
            <w:r>
              <w:rPr>
                <w:rFonts w:hint="eastAsia" w:ascii="仿宋_GB2312" w:hAnsi="仿宋_GB2312" w:eastAsia="仿宋_GB2312" w:cs="仿宋_GB2312"/>
                <w:b/>
                <w:bCs/>
                <w:w w:val="90"/>
                <w:sz w:val="24"/>
                <w:szCs w:val="24"/>
                <w:u w:val="single"/>
                <w:vertAlign w:val="baseline"/>
                <w:lang w:val="en-US" w:eastAsia="zh-CN"/>
              </w:rPr>
              <w:t>甲方法定代表人姓名</w:t>
            </w:r>
            <w:permEnd w:id="28"/>
          </w:p>
        </w:tc>
        <w:tc>
          <w:tcPr>
            <w:tcW w:w="0" w:type="auto"/>
            <w:vAlign w:val="bottom"/>
          </w:tcPr>
          <w:p w14:paraId="359ACBC0">
            <w:pPr>
              <w:spacing w:after="200" w:line="360" w:lineRule="auto"/>
              <w:jc w:val="center"/>
              <w:rPr>
                <w:rFonts w:hint="eastAsia" w:ascii="仿宋_GB2312" w:hAnsi="仿宋_GB2312" w:eastAsia="仿宋_GB2312" w:cs="仿宋_GB2312"/>
                <w:w w:val="90"/>
                <w:sz w:val="24"/>
                <w:szCs w:val="24"/>
                <w:vertAlign w:val="baseline"/>
              </w:rPr>
            </w:pPr>
            <w:permStart w:id="29" w:edGrp="everyone"/>
            <w:r>
              <w:rPr>
                <w:rFonts w:hint="eastAsia" w:ascii="仿宋_GB2312" w:hAnsi="仿宋_GB2312" w:eastAsia="仿宋_GB2312" w:cs="仿宋_GB2312"/>
                <w:b/>
                <w:bCs/>
                <w:w w:val="90"/>
                <w:sz w:val="24"/>
                <w:szCs w:val="24"/>
                <w:u w:val="single"/>
                <w:vertAlign w:val="baseline"/>
                <w:lang w:val="en-US" w:eastAsia="zh-CN"/>
              </w:rPr>
              <w:t>乙方法定代表人姓名</w:t>
            </w:r>
            <w:permEnd w:id="29"/>
          </w:p>
        </w:tc>
      </w:tr>
      <w:tr w14:paraId="3415E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2BF73C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0" w:type="auto"/>
            <w:vAlign w:val="bottom"/>
          </w:tcPr>
          <w:p w14:paraId="277FA318">
            <w:pPr>
              <w:spacing w:after="200" w:line="360" w:lineRule="auto"/>
              <w:jc w:val="center"/>
              <w:rPr>
                <w:rFonts w:hint="eastAsia" w:ascii="仿宋_GB2312" w:hAnsi="仿宋_GB2312" w:eastAsia="仿宋_GB2312" w:cs="仿宋_GB2312"/>
                <w:w w:val="90"/>
                <w:sz w:val="24"/>
                <w:szCs w:val="24"/>
                <w:vertAlign w:val="baseline"/>
              </w:rPr>
            </w:pPr>
            <w:permStart w:id="30" w:edGrp="everyone"/>
            <w:r>
              <w:rPr>
                <w:rFonts w:hint="eastAsia" w:ascii="仿宋_GB2312" w:hAnsi="仿宋_GB2312" w:eastAsia="仿宋_GB2312" w:cs="仿宋_GB2312"/>
                <w:b/>
                <w:bCs/>
                <w:w w:val="90"/>
                <w:sz w:val="24"/>
                <w:szCs w:val="24"/>
                <w:u w:val="single"/>
                <w:vertAlign w:val="baseline"/>
                <w:lang w:val="en-US" w:eastAsia="zh-CN"/>
              </w:rPr>
              <w:t>甲方授权代表姓名</w:t>
            </w:r>
            <w:permEnd w:id="30"/>
          </w:p>
        </w:tc>
        <w:tc>
          <w:tcPr>
            <w:tcW w:w="0" w:type="auto"/>
            <w:vAlign w:val="bottom"/>
          </w:tcPr>
          <w:p w14:paraId="04527BEC">
            <w:pPr>
              <w:spacing w:after="200" w:line="360" w:lineRule="auto"/>
              <w:jc w:val="center"/>
              <w:rPr>
                <w:rFonts w:hint="eastAsia" w:ascii="仿宋_GB2312" w:hAnsi="仿宋_GB2312" w:eastAsia="仿宋_GB2312" w:cs="仿宋_GB2312"/>
                <w:w w:val="90"/>
                <w:sz w:val="24"/>
                <w:szCs w:val="24"/>
                <w:vertAlign w:val="baseline"/>
              </w:rPr>
            </w:pPr>
            <w:permStart w:id="31" w:edGrp="everyone"/>
            <w:r>
              <w:rPr>
                <w:rFonts w:hint="eastAsia" w:ascii="仿宋_GB2312" w:hAnsi="仿宋_GB2312" w:eastAsia="仿宋_GB2312" w:cs="仿宋_GB2312"/>
                <w:b/>
                <w:bCs/>
                <w:w w:val="90"/>
                <w:sz w:val="24"/>
                <w:szCs w:val="24"/>
                <w:u w:val="single"/>
                <w:vertAlign w:val="baseline"/>
                <w:lang w:val="en-US" w:eastAsia="zh-CN"/>
              </w:rPr>
              <w:t>乙方授权代表姓名</w:t>
            </w:r>
            <w:permEnd w:id="31"/>
          </w:p>
        </w:tc>
      </w:tr>
      <w:tr w14:paraId="5649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CBAE9A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0" w:type="auto"/>
            <w:vAlign w:val="bottom"/>
          </w:tcPr>
          <w:p w14:paraId="6C2D6216">
            <w:pPr>
              <w:spacing w:after="200" w:line="360" w:lineRule="auto"/>
              <w:jc w:val="center"/>
              <w:rPr>
                <w:rFonts w:hint="default" w:ascii="仿宋_GB2312" w:hAnsi="仿宋_GB2312" w:eastAsia="仿宋_GB2312" w:cs="仿宋_GB2312"/>
                <w:w w:val="90"/>
                <w:sz w:val="24"/>
                <w:szCs w:val="24"/>
                <w:vertAlign w:val="baseline"/>
                <w:lang w:val="en-US"/>
              </w:rPr>
            </w:pPr>
            <w:permStart w:id="32" w:edGrp="everyone"/>
            <w:r>
              <w:rPr>
                <w:rFonts w:hint="eastAsia" w:ascii="仿宋_GB2312" w:hAnsi="仿宋_GB2312" w:eastAsia="仿宋_GB2312" w:cs="仿宋_GB2312"/>
                <w:b/>
                <w:bCs/>
                <w:w w:val="90"/>
                <w:sz w:val="24"/>
                <w:szCs w:val="24"/>
                <w:u w:val="single"/>
                <w:vertAlign w:val="baseline"/>
                <w:lang w:val="en-US" w:eastAsia="zh-CN"/>
              </w:rPr>
              <w:t>甲方授权代表手机号码</w:t>
            </w:r>
            <w:permEnd w:id="32"/>
          </w:p>
        </w:tc>
        <w:tc>
          <w:tcPr>
            <w:tcW w:w="0" w:type="auto"/>
            <w:vAlign w:val="bottom"/>
          </w:tcPr>
          <w:p w14:paraId="482FA214">
            <w:pPr>
              <w:spacing w:after="200" w:line="360" w:lineRule="auto"/>
              <w:jc w:val="center"/>
              <w:rPr>
                <w:rFonts w:hint="eastAsia" w:ascii="仿宋_GB2312" w:hAnsi="仿宋_GB2312" w:eastAsia="仿宋_GB2312" w:cs="仿宋_GB2312"/>
                <w:w w:val="90"/>
                <w:sz w:val="24"/>
                <w:szCs w:val="24"/>
                <w:vertAlign w:val="baseline"/>
              </w:rPr>
            </w:pPr>
            <w:permStart w:id="33" w:edGrp="everyone"/>
            <w:r>
              <w:rPr>
                <w:rFonts w:hint="eastAsia" w:ascii="仿宋_GB2312" w:hAnsi="仿宋_GB2312" w:eastAsia="仿宋_GB2312" w:cs="仿宋_GB2312"/>
                <w:b/>
                <w:bCs/>
                <w:w w:val="90"/>
                <w:sz w:val="24"/>
                <w:szCs w:val="24"/>
                <w:u w:val="single"/>
                <w:vertAlign w:val="baseline"/>
                <w:lang w:val="en-US" w:eastAsia="zh-CN"/>
              </w:rPr>
              <w:t>乙方授权代表手机号码</w:t>
            </w:r>
            <w:permEnd w:id="33"/>
          </w:p>
        </w:tc>
      </w:tr>
      <w:tr w14:paraId="088A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056490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0" w:type="auto"/>
            <w:vAlign w:val="bottom"/>
          </w:tcPr>
          <w:p w14:paraId="53E1BEE9">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4" w:edGrp="everyone"/>
            <w:r>
              <w:rPr>
                <w:rFonts w:hint="eastAsia" w:ascii="仿宋_GB2312" w:hAnsi="仿宋_GB2312" w:eastAsia="仿宋_GB2312" w:cs="仿宋_GB2312"/>
                <w:b/>
                <w:bCs/>
                <w:w w:val="90"/>
                <w:sz w:val="24"/>
                <w:szCs w:val="24"/>
                <w:u w:val="single"/>
                <w:vertAlign w:val="baseline"/>
                <w:lang w:val="en-US" w:eastAsia="zh-CN"/>
              </w:rPr>
              <w:t>甲方授权代表联系邮箱（非必填）</w:t>
            </w:r>
            <w:permEnd w:id="34"/>
          </w:p>
        </w:tc>
        <w:tc>
          <w:tcPr>
            <w:tcW w:w="0" w:type="auto"/>
            <w:vAlign w:val="bottom"/>
          </w:tcPr>
          <w:p w14:paraId="4359CA4D">
            <w:pPr>
              <w:spacing w:after="200" w:line="360" w:lineRule="auto"/>
              <w:jc w:val="center"/>
              <w:rPr>
                <w:rFonts w:hint="eastAsia" w:ascii="仿宋_GB2312" w:hAnsi="仿宋_GB2312" w:eastAsia="仿宋_GB2312" w:cs="仿宋_GB2312"/>
                <w:w w:val="90"/>
                <w:sz w:val="24"/>
                <w:szCs w:val="24"/>
                <w:vertAlign w:val="baseline"/>
              </w:rPr>
            </w:pPr>
            <w:permStart w:id="35" w:edGrp="everyone"/>
            <w:r>
              <w:rPr>
                <w:rFonts w:hint="eastAsia" w:ascii="仿宋_GB2312" w:hAnsi="仿宋_GB2312" w:eastAsia="仿宋_GB2312" w:cs="仿宋_GB2312"/>
                <w:b/>
                <w:bCs/>
                <w:w w:val="90"/>
                <w:sz w:val="24"/>
                <w:szCs w:val="24"/>
                <w:u w:val="single"/>
                <w:vertAlign w:val="baseline"/>
                <w:lang w:val="en-US" w:eastAsia="zh-CN"/>
              </w:rPr>
              <w:t>乙方授权代表联系邮箱（非必填）</w:t>
            </w:r>
            <w:permEnd w:id="35"/>
          </w:p>
        </w:tc>
      </w:tr>
      <w:tr w14:paraId="54BA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22CAC1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0" w:type="auto"/>
            <w:vAlign w:val="bottom"/>
          </w:tcPr>
          <w:p w14:paraId="72AD2E83">
            <w:pPr>
              <w:spacing w:after="200" w:line="360" w:lineRule="auto"/>
              <w:jc w:val="center"/>
              <w:rPr>
                <w:rFonts w:hint="eastAsia" w:ascii="仿宋_GB2312" w:hAnsi="仿宋_GB2312" w:eastAsia="仿宋_GB2312" w:cs="仿宋_GB2312"/>
                <w:w w:val="90"/>
                <w:sz w:val="24"/>
                <w:szCs w:val="24"/>
                <w:vertAlign w:val="baseline"/>
              </w:rPr>
            </w:pPr>
            <w:permStart w:id="36" w:edGrp="everyone"/>
            <w:r>
              <w:rPr>
                <w:rFonts w:hint="eastAsia" w:ascii="仿宋_GB2312" w:hAnsi="仿宋_GB2312" w:eastAsia="仿宋_GB2312" w:cs="仿宋_GB2312"/>
                <w:b/>
                <w:bCs/>
                <w:w w:val="90"/>
                <w:sz w:val="24"/>
                <w:szCs w:val="24"/>
                <w:u w:val="single"/>
                <w:vertAlign w:val="baseline"/>
                <w:lang w:val="en-US" w:eastAsia="zh-CN"/>
              </w:rPr>
              <w:t>甲方开户银行规范全称（非必填）</w:t>
            </w:r>
            <w:permEnd w:id="36"/>
          </w:p>
        </w:tc>
        <w:tc>
          <w:tcPr>
            <w:tcW w:w="0" w:type="auto"/>
            <w:vAlign w:val="bottom"/>
          </w:tcPr>
          <w:p w14:paraId="3A5C7A9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7" w:edGrp="everyone"/>
            <w:r>
              <w:rPr>
                <w:rFonts w:hint="eastAsia" w:ascii="仿宋_GB2312" w:hAnsi="仿宋_GB2312" w:eastAsia="仿宋_GB2312" w:cs="仿宋_GB2312"/>
                <w:b/>
                <w:bCs/>
                <w:w w:val="90"/>
                <w:sz w:val="24"/>
                <w:szCs w:val="24"/>
                <w:u w:val="single"/>
                <w:vertAlign w:val="baseline"/>
                <w:lang w:val="en-US" w:eastAsia="zh-CN"/>
              </w:rPr>
              <w:t>乙方开户银行规范全称</w:t>
            </w:r>
            <w:permEnd w:id="37"/>
          </w:p>
        </w:tc>
      </w:tr>
      <w:tr w14:paraId="53AF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F8055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0" w:type="auto"/>
            <w:vAlign w:val="bottom"/>
          </w:tcPr>
          <w:p w14:paraId="7C9AE074">
            <w:pPr>
              <w:spacing w:after="200" w:line="360" w:lineRule="auto"/>
              <w:jc w:val="center"/>
              <w:rPr>
                <w:rFonts w:hint="eastAsia" w:ascii="仿宋_GB2312" w:hAnsi="仿宋_GB2312" w:eastAsia="仿宋_GB2312" w:cs="仿宋_GB2312"/>
                <w:w w:val="90"/>
                <w:sz w:val="24"/>
                <w:szCs w:val="24"/>
                <w:vertAlign w:val="baseline"/>
              </w:rPr>
            </w:pPr>
            <w:permStart w:id="38" w:edGrp="everyone"/>
            <w:r>
              <w:rPr>
                <w:rFonts w:hint="eastAsia" w:ascii="仿宋_GB2312" w:hAnsi="仿宋_GB2312" w:eastAsia="仿宋_GB2312" w:cs="仿宋_GB2312"/>
                <w:b/>
                <w:bCs/>
                <w:w w:val="90"/>
                <w:sz w:val="24"/>
                <w:szCs w:val="24"/>
                <w:u w:val="single"/>
                <w:vertAlign w:val="baseline"/>
                <w:lang w:val="en-US" w:eastAsia="zh-CN"/>
              </w:rPr>
              <w:t>甲方开户银行联行号（非必填）</w:t>
            </w:r>
            <w:permEnd w:id="38"/>
          </w:p>
        </w:tc>
        <w:tc>
          <w:tcPr>
            <w:tcW w:w="0" w:type="auto"/>
            <w:vAlign w:val="bottom"/>
          </w:tcPr>
          <w:p w14:paraId="380F274C">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9" w:edGrp="everyone"/>
            <w:r>
              <w:rPr>
                <w:rFonts w:hint="eastAsia" w:ascii="仿宋_GB2312" w:hAnsi="仿宋_GB2312" w:eastAsia="仿宋_GB2312" w:cs="仿宋_GB2312"/>
                <w:b/>
                <w:bCs/>
                <w:w w:val="90"/>
                <w:sz w:val="24"/>
                <w:szCs w:val="24"/>
                <w:u w:val="single"/>
                <w:vertAlign w:val="baseline"/>
                <w:lang w:val="en-US" w:eastAsia="zh-CN"/>
              </w:rPr>
              <w:t>乙方开户银行联行号</w:t>
            </w:r>
            <w:permEnd w:id="39"/>
          </w:p>
        </w:tc>
      </w:tr>
      <w:tr w14:paraId="7B328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5D24B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0" w:type="auto"/>
            <w:vAlign w:val="bottom"/>
          </w:tcPr>
          <w:p w14:paraId="18BA9A81">
            <w:pPr>
              <w:spacing w:after="200" w:line="360" w:lineRule="auto"/>
              <w:jc w:val="center"/>
              <w:rPr>
                <w:rFonts w:hint="eastAsia" w:ascii="仿宋_GB2312" w:hAnsi="仿宋_GB2312" w:eastAsia="仿宋_GB2312" w:cs="仿宋_GB2312"/>
                <w:w w:val="90"/>
                <w:sz w:val="24"/>
                <w:szCs w:val="24"/>
                <w:vertAlign w:val="baseline"/>
              </w:rPr>
            </w:pPr>
            <w:permStart w:id="40" w:edGrp="everyone"/>
            <w:r>
              <w:rPr>
                <w:rFonts w:hint="eastAsia" w:ascii="仿宋_GB2312" w:hAnsi="仿宋_GB2312" w:eastAsia="仿宋_GB2312" w:cs="仿宋_GB2312"/>
                <w:b/>
                <w:bCs/>
                <w:w w:val="90"/>
                <w:sz w:val="24"/>
                <w:szCs w:val="24"/>
                <w:u w:val="single"/>
                <w:vertAlign w:val="baseline"/>
                <w:lang w:val="en-US" w:eastAsia="zh-CN"/>
              </w:rPr>
              <w:t>甲方银行账号（非必填）</w:t>
            </w:r>
            <w:permEnd w:id="40"/>
          </w:p>
        </w:tc>
        <w:tc>
          <w:tcPr>
            <w:tcW w:w="0" w:type="auto"/>
            <w:vAlign w:val="bottom"/>
          </w:tcPr>
          <w:p w14:paraId="2D07FE1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1" w:edGrp="everyone"/>
            <w:r>
              <w:rPr>
                <w:rFonts w:hint="eastAsia" w:ascii="仿宋_GB2312" w:hAnsi="仿宋_GB2312" w:eastAsia="仿宋_GB2312" w:cs="仿宋_GB2312"/>
                <w:b/>
                <w:bCs/>
                <w:w w:val="90"/>
                <w:sz w:val="24"/>
                <w:szCs w:val="24"/>
                <w:u w:val="single"/>
                <w:vertAlign w:val="baseline"/>
                <w:lang w:val="en-US" w:eastAsia="zh-CN"/>
              </w:rPr>
              <w:t>乙方银行账号</w:t>
            </w:r>
            <w:permEnd w:id="41"/>
          </w:p>
        </w:tc>
      </w:tr>
      <w:tr w14:paraId="2F23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2F75428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0" w:type="auto"/>
            <w:vAlign w:val="bottom"/>
          </w:tcPr>
          <w:p w14:paraId="491DA939">
            <w:pPr>
              <w:spacing w:after="200" w:line="360" w:lineRule="auto"/>
              <w:jc w:val="center"/>
              <w:rPr>
                <w:rFonts w:hint="eastAsia" w:ascii="仿宋_GB2312" w:hAnsi="仿宋_GB2312" w:eastAsia="仿宋_GB2312" w:cs="仿宋_GB2312"/>
                <w:w w:val="90"/>
                <w:sz w:val="24"/>
                <w:szCs w:val="24"/>
                <w:vertAlign w:val="baseline"/>
              </w:rPr>
            </w:pPr>
            <w:permStart w:id="42" w:edGrp="everyone"/>
            <w:r>
              <w:rPr>
                <w:rFonts w:hint="eastAsia" w:ascii="仿宋_GB2312" w:hAnsi="仿宋_GB2312" w:eastAsia="仿宋_GB2312" w:cs="仿宋_GB2312"/>
                <w:b/>
                <w:bCs/>
                <w:w w:val="90"/>
                <w:sz w:val="24"/>
                <w:szCs w:val="24"/>
                <w:u w:val="single"/>
                <w:vertAlign w:val="baseline"/>
                <w:lang w:val="en-US" w:eastAsia="zh-CN"/>
              </w:rPr>
              <w:t>甲方其他需列明企业信息（非必填）</w:t>
            </w:r>
            <w:permEnd w:id="42"/>
          </w:p>
        </w:tc>
        <w:tc>
          <w:tcPr>
            <w:tcW w:w="0" w:type="auto"/>
            <w:vAlign w:val="bottom"/>
          </w:tcPr>
          <w:p w14:paraId="1B21BC76">
            <w:pPr>
              <w:spacing w:after="200" w:line="360" w:lineRule="auto"/>
              <w:jc w:val="center"/>
              <w:rPr>
                <w:rFonts w:hint="eastAsia" w:ascii="仿宋_GB2312" w:hAnsi="仿宋_GB2312" w:eastAsia="仿宋_GB2312" w:cs="仿宋_GB2312"/>
                <w:w w:val="90"/>
                <w:sz w:val="24"/>
                <w:szCs w:val="24"/>
                <w:vertAlign w:val="baseline"/>
              </w:rPr>
            </w:pPr>
            <w:permStart w:id="43" w:edGrp="everyone"/>
            <w:r>
              <w:rPr>
                <w:rFonts w:hint="eastAsia" w:ascii="仿宋_GB2312" w:hAnsi="仿宋_GB2312" w:eastAsia="仿宋_GB2312" w:cs="仿宋_GB2312"/>
                <w:b/>
                <w:bCs/>
                <w:w w:val="90"/>
                <w:sz w:val="24"/>
                <w:szCs w:val="24"/>
                <w:u w:val="single"/>
                <w:vertAlign w:val="baseline"/>
                <w:lang w:val="en-US" w:eastAsia="zh-CN"/>
              </w:rPr>
              <w:t>乙方其他需列明企业信息（非必填）</w:t>
            </w:r>
            <w:permEnd w:id="43"/>
          </w:p>
        </w:tc>
      </w:tr>
    </w:tbl>
    <w:p w14:paraId="079BF74C">
      <w:pPr>
        <w:spacing w:after="0"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55699ED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2" w:name="_Toc11031"/>
      <w:r>
        <w:rPr>
          <w:rFonts w:hint="eastAsia" w:ascii="黑体" w:hAnsi="黑体" w:eastAsia="黑体" w:cs="黑体"/>
          <w:b w:val="0"/>
          <w:iCs/>
          <w:kern w:val="2"/>
          <w:sz w:val="24"/>
          <w:szCs w:val="24"/>
          <w:lang w:val="en-US" w:eastAsia="zh-CN" w:bidi="ar-SA"/>
        </w:rPr>
        <w:t>3.生效条款</w:t>
      </w:r>
      <w:bookmarkEnd w:id="62"/>
    </w:p>
    <w:p w14:paraId="50A02FFD">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.1本合同经双方签署后生效。</w:t>
      </w:r>
    </w:p>
    <w:p w14:paraId="54EED010">
      <w:pPr>
        <w:spacing w:after="0" w:line="360" w:lineRule="auto"/>
        <w:ind w:firstLine="480" w:firstLineChars="200"/>
        <w:rPr>
          <w:rFonts w:hint="default" w:ascii="仿宋_GB2312" w:hAnsi="黑体" w:eastAsia="仿宋_GB2312" w:cs="宋体"/>
          <w:sz w:val="24"/>
          <w:szCs w:val="24"/>
          <w:lang w:val="en-US" w:eastAsia="zh-CN"/>
        </w:rPr>
      </w:pPr>
      <w:r>
        <w:rPr>
          <w:rFonts w:hint="eastAsia" w:ascii="仿宋_GB2312" w:hAnsi="黑体" w:eastAsia="仿宋_GB2312" w:cs="宋体"/>
          <w:sz w:val="24"/>
          <w:szCs w:val="24"/>
          <w:lang w:val="en-US" w:eastAsia="zh-CN"/>
        </w:rPr>
        <w:t>3.2本合同一式四份，甲乙双方各执两份，具有同等法律效力。</w:t>
      </w:r>
    </w:p>
    <w:p w14:paraId="76E03001">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kern w:val="2"/>
          <w:sz w:val="24"/>
          <w:szCs w:val="20"/>
          <w:lang w:val="en-US" w:eastAsia="zh-CN" w:bidi="ar-SA"/>
        </w:rPr>
      </w:pPr>
      <w:bookmarkStart w:id="63" w:name="_Toc23222"/>
      <w:r>
        <w:rPr>
          <w:rFonts w:hint="eastAsia" w:ascii="黑体" w:hAnsi="黑体" w:eastAsia="黑体" w:cs="黑体"/>
          <w:b w:val="0"/>
          <w:iCs/>
          <w:kern w:val="2"/>
          <w:sz w:val="24"/>
          <w:szCs w:val="24"/>
          <w:lang w:val="en-US" w:eastAsia="zh-CN" w:bidi="ar-SA"/>
        </w:rPr>
        <w:t>4.特殊约定</w:t>
      </w:r>
      <w:bookmarkEnd w:id="63"/>
    </w:p>
    <w:p w14:paraId="36F53247">
      <w:pPr>
        <w:spacing w:after="0" w:line="360" w:lineRule="auto"/>
        <w:ind w:firstLine="434" w:firstLineChars="200"/>
        <w:rPr>
          <w:rFonts w:ascii="宋体" w:hAnsi="宋体" w:eastAsia="宋体" w:cs="Times New Roman"/>
          <w:snapToGrid w:val="0"/>
          <w:kern w:val="0"/>
          <w:sz w:val="20"/>
          <w:szCs w:val="20"/>
          <w:lang w:eastAsia="zh-Hans"/>
        </w:rPr>
      </w:pPr>
      <w:permStart w:id="44" w:edGrp="everyone"/>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：4.1</w:t>
      </w:r>
      <w:r>
        <w:rPr>
          <w:rFonts w:hint="eastAsia" w:ascii="仿宋_GB2312" w:hAnsi="仿宋_GB2312" w:eastAsia="仿宋_GB2312" w:cs="仿宋_GB2312"/>
          <w:b/>
          <w:bCs/>
          <w:w w:val="90"/>
          <w:sz w:val="24"/>
          <w:szCs w:val="24"/>
          <w:u w:val="single"/>
          <w:lang w:val="en-US" w:eastAsia="zh-CN"/>
        </w:rPr>
        <w:t xml:space="preserve">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无</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专用条款、通用条款中需进行修改的部分应在此处予以体现</w:t>
      </w:r>
      <w:permEnd w:id="44"/>
      <w:r>
        <w:rPr>
          <w:rFonts w:hint="eastAsia" w:ascii="仿宋_GB2312" w:hAnsi="宋体" w:eastAsia="仿宋_GB2312" w:cs="宋体"/>
          <w:b/>
          <w:bCs/>
          <w:sz w:val="24"/>
          <w:szCs w:val="24"/>
          <w:u w:val="single"/>
          <w:lang w:eastAsia="zh-CN"/>
        </w:rPr>
        <w:t>。</w:t>
      </w:r>
    </w:p>
    <w:p w14:paraId="5025C2D5">
      <w:pPr>
        <w:spacing w:after="0" w:line="360" w:lineRule="auto"/>
        <w:rPr>
          <w:rFonts w:ascii="宋体" w:hAnsi="宋体" w:eastAsia="宋体" w:cs="Times New Roman"/>
          <w:snapToGrid w:val="0"/>
          <w:kern w:val="0"/>
          <w:sz w:val="20"/>
          <w:szCs w:val="20"/>
          <w:lang w:eastAsia="zh-Hans"/>
        </w:rPr>
      </w:pPr>
    </w:p>
    <w:p w14:paraId="5704EFE5">
      <w:pPr>
        <w:spacing w:after="0" w:line="360" w:lineRule="auto"/>
        <w:rPr>
          <w:rFonts w:ascii="宋体" w:hAnsi="宋体" w:eastAsia="宋体" w:cs="Times New Roman"/>
          <w:snapToGrid w:val="0"/>
          <w:kern w:val="0"/>
          <w:sz w:val="20"/>
          <w:szCs w:val="20"/>
          <w:lang w:eastAsia="zh-Hans"/>
        </w:rPr>
      </w:pPr>
    </w:p>
    <w:p w14:paraId="486A967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5"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5"/>
    </w:p>
    <w:p w14:paraId="261BFD14">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1DA8CF14">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263D3F07">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                </w:t>
      </w:r>
    </w:p>
    <w:p w14:paraId="0342411E">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p>
    <w:p w14:paraId="0E754B1C">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A5DD4FD">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6"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6"/>
    </w:p>
    <w:p w14:paraId="6A463A2A">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30B7E0AD">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4BC55393">
      <w:pPr>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br w:type="page"/>
      </w:r>
    </w:p>
    <w:p w14:paraId="235ECDC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8498677">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E1B703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4" w:name="_Toc11192"/>
      <w:bookmarkStart w:id="65" w:name="_Toc11930"/>
      <w:bookmarkStart w:id="66" w:name="_Toc16330018"/>
      <w:bookmarkStart w:id="67" w:name="_Toc17619"/>
      <w:bookmarkStart w:id="68" w:name="_Toc11823"/>
      <w:r>
        <w:rPr>
          <w:rFonts w:hint="eastAsia" w:ascii="黑体" w:hAnsi="黑体" w:eastAsia="黑体" w:cs="黑体"/>
          <w:b w:val="0"/>
          <w:iCs/>
          <w:kern w:val="2"/>
          <w:sz w:val="24"/>
          <w:szCs w:val="24"/>
          <w:lang w:val="en-US" w:eastAsia="zh-CN" w:bidi="ar-SA"/>
        </w:rPr>
        <w:t>1 合同设备</w:t>
      </w:r>
      <w:bookmarkEnd w:id="64"/>
      <w:bookmarkEnd w:id="65"/>
      <w:bookmarkEnd w:id="66"/>
      <w:bookmarkEnd w:id="67"/>
      <w:bookmarkEnd w:id="68"/>
    </w:p>
    <w:p w14:paraId="06EA1B5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69" w:name="_Toc22800"/>
      <w:bookmarkStart w:id="70" w:name="_Toc32510"/>
      <w:bookmarkStart w:id="71" w:name="_Toc29026"/>
      <w:r>
        <w:rPr>
          <w:rFonts w:hint="eastAsia" w:ascii="仿宋_GB2312" w:hAnsi="仿宋_GB2312" w:eastAsia="仿宋_GB2312" w:cs="仿宋_GB2312"/>
          <w:sz w:val="24"/>
          <w:szCs w:val="24"/>
        </w:rPr>
        <w:t>本合同约定设备的技术规格详见附件二《技术协议书》。</w:t>
      </w:r>
    </w:p>
    <w:p w14:paraId="61F026C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0EB61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972171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2" w:name="_Toc16330019"/>
      <w:bookmarkStart w:id="73" w:name="_Toc16451"/>
      <w:r>
        <w:rPr>
          <w:rFonts w:hint="eastAsia" w:ascii="黑体" w:hAnsi="黑体" w:eastAsia="黑体" w:cs="黑体"/>
          <w:b w:val="0"/>
          <w:iCs/>
          <w:kern w:val="2"/>
          <w:sz w:val="24"/>
          <w:szCs w:val="24"/>
          <w:lang w:val="en-US" w:eastAsia="zh-CN" w:bidi="ar-SA"/>
        </w:rPr>
        <w:t>2 包装</w:t>
      </w:r>
      <w:bookmarkEnd w:id="69"/>
      <w:bookmarkEnd w:id="70"/>
      <w:bookmarkEnd w:id="71"/>
      <w:bookmarkEnd w:id="72"/>
      <w:bookmarkEnd w:id="73"/>
    </w:p>
    <w:p w14:paraId="16CE4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024677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1D53823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4" w:name="_Toc2833"/>
      <w:bookmarkStart w:id="75" w:name="_Toc16330020"/>
      <w:bookmarkStart w:id="76" w:name="_Toc27453"/>
      <w:bookmarkStart w:id="77" w:name="_Toc27144"/>
      <w:bookmarkStart w:id="78" w:name="_Toc13922"/>
      <w:r>
        <w:rPr>
          <w:rFonts w:hint="eastAsia" w:ascii="黑体" w:hAnsi="黑体" w:eastAsia="黑体" w:cs="黑体"/>
          <w:b w:val="0"/>
          <w:iCs/>
          <w:kern w:val="2"/>
          <w:sz w:val="24"/>
          <w:szCs w:val="24"/>
          <w:lang w:val="en-US" w:eastAsia="zh-CN" w:bidi="ar-SA"/>
        </w:rPr>
        <w:t>3 运输标记</w:t>
      </w:r>
      <w:bookmarkEnd w:id="74"/>
      <w:bookmarkEnd w:id="75"/>
      <w:bookmarkEnd w:id="76"/>
      <w:bookmarkEnd w:id="77"/>
      <w:bookmarkEnd w:id="78"/>
    </w:p>
    <w:p w14:paraId="189335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67F054C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0CEB39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281E57F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6F566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35508F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4E5B3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7F393D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8EF264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9" w:name="_Toc16330021"/>
      <w:bookmarkStart w:id="80" w:name="_Toc16133"/>
      <w:bookmarkStart w:id="81" w:name="_Toc7431"/>
      <w:bookmarkStart w:id="82" w:name="_Toc10630"/>
      <w:bookmarkStart w:id="83" w:name="_Toc6516"/>
      <w:r>
        <w:rPr>
          <w:rFonts w:hint="eastAsia" w:ascii="黑体" w:hAnsi="黑体" w:eastAsia="黑体" w:cs="黑体"/>
          <w:b w:val="0"/>
          <w:iCs/>
          <w:kern w:val="2"/>
          <w:sz w:val="24"/>
          <w:szCs w:val="24"/>
          <w:lang w:val="en-US" w:eastAsia="zh-CN" w:bidi="ar-SA"/>
        </w:rPr>
        <w:t>4 检验</w:t>
      </w:r>
      <w:bookmarkEnd w:id="79"/>
      <w:bookmarkEnd w:id="80"/>
      <w:bookmarkEnd w:id="81"/>
      <w:bookmarkEnd w:id="82"/>
      <w:bookmarkEnd w:id="83"/>
    </w:p>
    <w:p w14:paraId="467FC68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45D6E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F3DD45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4" w:name="_Toc16330022"/>
      <w:bookmarkStart w:id="85" w:name="_Toc19850"/>
      <w:bookmarkStart w:id="86" w:name="_Toc11217"/>
      <w:bookmarkStart w:id="87" w:name="_Toc15840"/>
      <w:bookmarkStart w:id="88" w:name="_Toc24467"/>
      <w:r>
        <w:rPr>
          <w:rFonts w:hint="eastAsia" w:ascii="黑体" w:hAnsi="黑体" w:eastAsia="黑体" w:cs="黑体"/>
          <w:b w:val="0"/>
          <w:iCs/>
          <w:kern w:val="2"/>
          <w:sz w:val="24"/>
          <w:szCs w:val="24"/>
          <w:lang w:val="en-US" w:eastAsia="zh-CN" w:bidi="ar-SA"/>
        </w:rPr>
        <w:t>5 权利担保</w:t>
      </w:r>
      <w:bookmarkEnd w:id="84"/>
      <w:bookmarkEnd w:id="85"/>
      <w:bookmarkEnd w:id="86"/>
      <w:bookmarkEnd w:id="87"/>
      <w:bookmarkEnd w:id="88"/>
    </w:p>
    <w:p w14:paraId="1D2AAD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9982A1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5B16E3B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0261629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76C6FF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3E18F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9" w:name="_Toc27500"/>
      <w:bookmarkStart w:id="90" w:name="_Toc14809"/>
      <w:bookmarkStart w:id="91" w:name="_Toc19937"/>
      <w:bookmarkStart w:id="92" w:name="_Toc11759"/>
      <w:bookmarkStart w:id="93" w:name="_Toc16330023"/>
      <w:r>
        <w:rPr>
          <w:rFonts w:hint="eastAsia" w:ascii="黑体" w:hAnsi="黑体" w:eastAsia="黑体" w:cs="黑体"/>
          <w:b w:val="0"/>
          <w:iCs/>
          <w:kern w:val="2"/>
          <w:sz w:val="24"/>
          <w:szCs w:val="24"/>
          <w:lang w:val="en-US" w:eastAsia="zh-CN" w:bidi="ar-SA"/>
        </w:rPr>
        <w:t>6 交货</w:t>
      </w:r>
      <w:bookmarkEnd w:id="89"/>
      <w:bookmarkEnd w:id="90"/>
      <w:bookmarkEnd w:id="91"/>
      <w:bookmarkEnd w:id="92"/>
      <w:bookmarkEnd w:id="93"/>
    </w:p>
    <w:p w14:paraId="24F173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E349E3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53496ED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823AAF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9C3C2A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AC161D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CA2428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352FEA4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3513CEF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1FCBFCF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4491AB7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6DA48A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4" w:name="_Toc16330024"/>
      <w:bookmarkStart w:id="95" w:name="_Toc2984"/>
      <w:bookmarkStart w:id="96" w:name="_Toc8024"/>
      <w:bookmarkStart w:id="97" w:name="_Toc13185"/>
      <w:bookmarkStart w:id="98" w:name="_Toc25510"/>
      <w:r>
        <w:rPr>
          <w:rFonts w:hint="eastAsia" w:ascii="黑体" w:hAnsi="黑体" w:eastAsia="黑体" w:cs="黑体"/>
          <w:b w:val="0"/>
          <w:iCs/>
          <w:kern w:val="2"/>
          <w:sz w:val="24"/>
          <w:szCs w:val="24"/>
          <w:lang w:val="en-US" w:eastAsia="zh-CN" w:bidi="ar-SA"/>
        </w:rPr>
        <w:t>7 安装、调试</w:t>
      </w:r>
      <w:bookmarkEnd w:id="94"/>
      <w:bookmarkEnd w:id="95"/>
      <w:bookmarkEnd w:id="96"/>
      <w:bookmarkEnd w:id="97"/>
      <w:bookmarkEnd w:id="98"/>
    </w:p>
    <w:p w14:paraId="607F3FE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FC4277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50CF805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4415048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9" w:name="_Toc14260"/>
      <w:bookmarkStart w:id="100" w:name="_Toc16330025"/>
      <w:bookmarkStart w:id="101" w:name="_Toc22891"/>
      <w:bookmarkStart w:id="102" w:name="_Toc14098"/>
      <w:bookmarkStart w:id="103" w:name="_Toc6350"/>
      <w:r>
        <w:rPr>
          <w:rFonts w:hint="eastAsia" w:ascii="黑体" w:hAnsi="黑体" w:eastAsia="黑体" w:cs="黑体"/>
          <w:b w:val="0"/>
          <w:iCs/>
          <w:kern w:val="2"/>
          <w:sz w:val="24"/>
          <w:szCs w:val="24"/>
          <w:lang w:val="en-US" w:eastAsia="zh-CN" w:bidi="ar-SA"/>
        </w:rPr>
        <w:t>8 价款与支付</w:t>
      </w:r>
      <w:bookmarkEnd w:id="99"/>
      <w:bookmarkEnd w:id="100"/>
      <w:bookmarkEnd w:id="101"/>
      <w:bookmarkEnd w:id="102"/>
      <w:bookmarkEnd w:id="103"/>
    </w:p>
    <w:p w14:paraId="7664B64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16B5C86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40179EE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295B7C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5EBC167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4" w:name="_Toc16330026"/>
      <w:bookmarkStart w:id="105" w:name="_Toc24085"/>
      <w:bookmarkStart w:id="106" w:name="_Toc25708"/>
      <w:bookmarkStart w:id="107" w:name="_Toc6726"/>
      <w:bookmarkStart w:id="108" w:name="_Toc23616"/>
      <w:r>
        <w:rPr>
          <w:rFonts w:hint="eastAsia" w:ascii="黑体" w:hAnsi="黑体" w:eastAsia="黑体" w:cs="黑体"/>
          <w:b w:val="0"/>
          <w:iCs/>
          <w:kern w:val="2"/>
          <w:sz w:val="24"/>
          <w:szCs w:val="24"/>
          <w:lang w:val="en-US" w:eastAsia="zh-CN" w:bidi="ar-SA"/>
        </w:rPr>
        <w:t>9 质量保证及售后服务</w:t>
      </w:r>
      <w:bookmarkEnd w:id="104"/>
      <w:bookmarkEnd w:id="105"/>
      <w:bookmarkEnd w:id="106"/>
      <w:bookmarkEnd w:id="107"/>
      <w:bookmarkEnd w:id="108"/>
    </w:p>
    <w:p w14:paraId="47C3ED6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998FB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AF301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56C9EDE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411535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773944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F77A40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281AD89F">
      <w:pPr>
        <w:widowControl w:val="0"/>
        <w:tabs>
          <w:tab w:val="right" w:leader="dot" w:pos="9061"/>
        </w:tabs>
        <w:spacing w:line="360" w:lineRule="auto"/>
        <w:ind w:left="0" w:firstLine="480" w:firstLineChars="200"/>
        <w:jc w:val="both"/>
        <w:outlineLvl w:val="0"/>
        <w:rPr>
          <w:rFonts w:hint="default" w:ascii="黑体" w:hAnsi="黑体" w:eastAsia="黑体" w:cs="黑体"/>
          <w:b w:val="0"/>
          <w:iCs/>
          <w:kern w:val="2"/>
          <w:sz w:val="24"/>
          <w:szCs w:val="24"/>
          <w:lang w:val="en-US" w:eastAsia="zh-CN" w:bidi="ar-SA"/>
        </w:rPr>
      </w:pPr>
      <w:bookmarkStart w:id="109" w:name="_Toc16330027"/>
      <w:bookmarkStart w:id="110" w:name="_Toc12927"/>
      <w:bookmarkStart w:id="111" w:name="_Toc10359"/>
      <w:bookmarkStart w:id="112" w:name="_Toc15570"/>
      <w:bookmarkStart w:id="113" w:name="_Toc19254"/>
      <w:r>
        <w:rPr>
          <w:rFonts w:hint="eastAsia" w:ascii="黑体" w:hAnsi="黑体" w:eastAsia="黑体" w:cs="黑体"/>
          <w:b w:val="0"/>
          <w:iCs/>
          <w:kern w:val="2"/>
          <w:sz w:val="24"/>
          <w:szCs w:val="24"/>
          <w:lang w:val="en-US" w:eastAsia="zh-CN" w:bidi="ar-SA"/>
        </w:rPr>
        <w:t>10法定责任</w:t>
      </w:r>
      <w:bookmarkEnd w:id="109"/>
      <w:bookmarkEnd w:id="110"/>
      <w:bookmarkEnd w:id="111"/>
      <w:bookmarkEnd w:id="112"/>
      <w:r>
        <w:rPr>
          <w:rFonts w:hint="eastAsia" w:ascii="黑体" w:hAnsi="黑体" w:eastAsia="黑体" w:cs="黑体"/>
          <w:b w:val="0"/>
          <w:iCs/>
          <w:kern w:val="2"/>
          <w:sz w:val="24"/>
          <w:szCs w:val="24"/>
          <w:lang w:val="en-US" w:eastAsia="zh-CN" w:bidi="ar-SA"/>
        </w:rPr>
        <w:t>及合规责任</w:t>
      </w:r>
      <w:bookmarkEnd w:id="113"/>
    </w:p>
    <w:p w14:paraId="152CCF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489D40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3EA3096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DDF9C8">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8E4A941">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5CE128B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033C273">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0D74628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0FBEBF90">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596C582B">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4F6DCBA8">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111BC57">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41A61733">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1574F14">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130B929F">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55CC988E">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3E7EDC30">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62D91E3">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50168F35">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60F3BE28">
      <w:pPr>
        <w:spacing w:after="0"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2E86E5E">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6D17C76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4" w:name="_Toc30381"/>
      <w:bookmarkStart w:id="115" w:name="_Toc16330028"/>
      <w:bookmarkStart w:id="116" w:name="_Toc9708"/>
      <w:bookmarkStart w:id="117" w:name="_Toc27314"/>
      <w:bookmarkStart w:id="118" w:name="_Toc22629"/>
      <w:r>
        <w:rPr>
          <w:rFonts w:hint="eastAsia" w:ascii="黑体" w:hAnsi="黑体" w:eastAsia="黑体" w:cs="黑体"/>
          <w:b w:val="0"/>
          <w:iCs/>
          <w:kern w:val="2"/>
          <w:sz w:val="24"/>
          <w:szCs w:val="24"/>
          <w:lang w:val="en-US" w:eastAsia="zh-CN" w:bidi="ar-SA"/>
        </w:rPr>
        <w:t>11 违约责任</w:t>
      </w:r>
      <w:bookmarkEnd w:id="114"/>
      <w:bookmarkEnd w:id="115"/>
      <w:bookmarkEnd w:id="116"/>
      <w:bookmarkEnd w:id="117"/>
      <w:bookmarkEnd w:id="118"/>
    </w:p>
    <w:p w14:paraId="60826F6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464D3C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288780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16D4B78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87AAE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A33339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131A99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3D97CBC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773F3AB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0C233D9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上述约定或其他约定（包括本合同及所有附件）</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除应按本合同约定赔偿损失及违约金外，还应赔偿包括但不限于</w:t>
      </w:r>
      <w:r>
        <w:rPr>
          <w:rFonts w:hint="eastAsia" w:ascii="仿宋_GB2312" w:hAnsi="仿宋_GB2312" w:eastAsia="仿宋_GB2312" w:cs="仿宋_GB2312"/>
          <w:sz w:val="24"/>
          <w:szCs w:val="24"/>
          <w:lang w:val="en-US" w:eastAsia="zh-CN"/>
        </w:rPr>
        <w:t>买</w:t>
      </w:r>
      <w:r>
        <w:rPr>
          <w:rFonts w:hint="eastAsia" w:ascii="仿宋_GB2312" w:hAnsi="仿宋_GB2312" w:eastAsia="仿宋_GB2312" w:cs="仿宋_GB2312"/>
          <w:sz w:val="24"/>
          <w:szCs w:val="24"/>
        </w:rPr>
        <w:t>方因此支出的或预计支付的诉讼费、保全申请费、保全保险费、鉴定费、评估费、司法审计费、拍卖费、律师费等一切费用。</w:t>
      </w:r>
    </w:p>
    <w:p w14:paraId="6723DDA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9" w:name="_Toc16330029"/>
      <w:bookmarkStart w:id="120" w:name="_Toc8535"/>
      <w:bookmarkStart w:id="121" w:name="_Toc9172"/>
      <w:bookmarkStart w:id="122" w:name="_Toc31554"/>
      <w:bookmarkStart w:id="123" w:name="_Toc1827"/>
      <w:r>
        <w:rPr>
          <w:rFonts w:hint="eastAsia" w:ascii="黑体" w:hAnsi="黑体" w:eastAsia="黑体" w:cs="黑体"/>
          <w:b w:val="0"/>
          <w:iCs/>
          <w:kern w:val="2"/>
          <w:sz w:val="24"/>
          <w:szCs w:val="24"/>
          <w:lang w:val="en-US" w:eastAsia="zh-CN" w:bidi="ar-SA"/>
        </w:rPr>
        <w:t>12 合同的终止与解除</w:t>
      </w:r>
      <w:bookmarkEnd w:id="119"/>
      <w:bookmarkEnd w:id="120"/>
      <w:bookmarkEnd w:id="121"/>
      <w:bookmarkEnd w:id="122"/>
      <w:bookmarkEnd w:id="123"/>
    </w:p>
    <w:p w14:paraId="768D967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6742EC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03E77E4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17BFC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12.3.1卖方明确表示或者以自己的行为表明不履行交货、安装、调试、培训等主要义务的，或足以影响买方使用设备的行为的；</w:t>
      </w:r>
    </w:p>
    <w:p w14:paraId="529ED23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w:t>
      </w:r>
      <w:r>
        <w:rPr>
          <w:rFonts w:hint="eastAsia" w:ascii="仿宋_GB2312" w:hAnsi="仿宋_GB2312" w:eastAsia="仿宋_GB2312" w:cs="仿宋_GB2312"/>
          <w:sz w:val="24"/>
          <w:szCs w:val="24"/>
          <w:lang w:val="en-US" w:eastAsia="zh-CN"/>
        </w:rPr>
        <w:t>交付</w:t>
      </w:r>
      <w:r>
        <w:rPr>
          <w:rFonts w:hint="eastAsia" w:ascii="仿宋_GB2312" w:hAnsi="仿宋_GB2312" w:eastAsia="仿宋_GB2312" w:cs="仿宋_GB2312"/>
          <w:sz w:val="24"/>
          <w:szCs w:val="24"/>
        </w:rPr>
        <w:t>的设备不符合本合同约定的质量要求或屡次验收不合格或达不到验收标准的；</w:t>
      </w:r>
    </w:p>
    <w:p w14:paraId="0441152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543020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2269501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630B96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7E0170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704FD6E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7A595B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4" w:name="_Toc31945"/>
      <w:bookmarkStart w:id="125" w:name="_Toc16330030"/>
      <w:bookmarkStart w:id="126" w:name="_Toc8620"/>
      <w:bookmarkStart w:id="127" w:name="_Toc13671"/>
      <w:bookmarkStart w:id="128" w:name="_Toc14575"/>
      <w:r>
        <w:rPr>
          <w:rFonts w:hint="eastAsia" w:ascii="黑体" w:hAnsi="黑体" w:eastAsia="黑体" w:cs="黑体"/>
          <w:b w:val="0"/>
          <w:iCs/>
          <w:kern w:val="2"/>
          <w:sz w:val="24"/>
          <w:szCs w:val="24"/>
          <w:lang w:val="en-US" w:eastAsia="zh-CN" w:bidi="ar-SA"/>
        </w:rPr>
        <w:t>13 不可抗力</w:t>
      </w:r>
      <w:bookmarkEnd w:id="124"/>
      <w:bookmarkEnd w:id="125"/>
      <w:bookmarkEnd w:id="126"/>
      <w:bookmarkEnd w:id="127"/>
      <w:bookmarkEnd w:id="128"/>
    </w:p>
    <w:p w14:paraId="2D1A22E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63C553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685FB9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9" w:name="_Toc30389"/>
      <w:bookmarkStart w:id="130" w:name="_Toc637"/>
      <w:bookmarkStart w:id="131" w:name="_Toc16330031"/>
      <w:bookmarkStart w:id="132" w:name="_Toc31243"/>
      <w:bookmarkStart w:id="133" w:name="_Toc3849"/>
      <w:r>
        <w:rPr>
          <w:rFonts w:hint="eastAsia" w:ascii="黑体" w:hAnsi="黑体" w:eastAsia="黑体" w:cs="黑体"/>
          <w:b w:val="0"/>
          <w:iCs/>
          <w:kern w:val="2"/>
          <w:sz w:val="24"/>
          <w:szCs w:val="24"/>
          <w:lang w:val="en-US" w:eastAsia="zh-CN" w:bidi="ar-SA"/>
        </w:rPr>
        <w:t>14 通讯</w:t>
      </w:r>
      <w:bookmarkEnd w:id="129"/>
      <w:bookmarkEnd w:id="130"/>
      <w:bookmarkEnd w:id="131"/>
      <w:bookmarkEnd w:id="132"/>
      <w:bookmarkEnd w:id="133"/>
    </w:p>
    <w:p w14:paraId="1AD868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4BFA8C5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659E87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CB9BD3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01420D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6773672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1E00B4A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81F8EC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4AB375CC">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4" w:name="_Toc12984"/>
      <w:bookmarkStart w:id="135" w:name="_Toc9915"/>
      <w:bookmarkStart w:id="136" w:name="_Toc11290"/>
      <w:bookmarkStart w:id="137" w:name="_Toc6534"/>
      <w:bookmarkStart w:id="138" w:name="_Toc16330032"/>
      <w:r>
        <w:rPr>
          <w:rFonts w:hint="eastAsia" w:ascii="黑体" w:hAnsi="黑体" w:eastAsia="黑体" w:cs="黑体"/>
          <w:b w:val="0"/>
          <w:iCs/>
          <w:kern w:val="2"/>
          <w:sz w:val="24"/>
          <w:szCs w:val="24"/>
          <w:lang w:val="en-US" w:eastAsia="zh-CN" w:bidi="ar-SA"/>
        </w:rPr>
        <w:t>15 适用法律及争议解决</w:t>
      </w:r>
      <w:bookmarkEnd w:id="134"/>
      <w:bookmarkEnd w:id="135"/>
      <w:bookmarkEnd w:id="136"/>
      <w:bookmarkEnd w:id="137"/>
      <w:bookmarkEnd w:id="138"/>
    </w:p>
    <w:p w14:paraId="052F979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0A5CC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26A704A">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9" w:name="_Toc26977"/>
      <w:bookmarkStart w:id="140" w:name="_Toc23765"/>
      <w:bookmarkStart w:id="141" w:name="_Toc18207"/>
      <w:bookmarkStart w:id="142" w:name="_Toc16330033"/>
      <w:bookmarkStart w:id="143" w:name="_Toc23906"/>
      <w:r>
        <w:rPr>
          <w:rFonts w:hint="eastAsia" w:ascii="黑体" w:hAnsi="黑体" w:eastAsia="黑体" w:cs="黑体"/>
          <w:b w:val="0"/>
          <w:iCs/>
          <w:kern w:val="2"/>
          <w:sz w:val="24"/>
          <w:szCs w:val="24"/>
          <w:lang w:val="en-US" w:eastAsia="zh-CN" w:bidi="ar-SA"/>
        </w:rPr>
        <w:t>16 附件</w:t>
      </w:r>
      <w:bookmarkEnd w:id="139"/>
      <w:bookmarkEnd w:id="140"/>
      <w:bookmarkEnd w:id="141"/>
      <w:bookmarkEnd w:id="142"/>
      <w:bookmarkEnd w:id="143"/>
    </w:p>
    <w:p w14:paraId="322599F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078CE65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676EC2C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3CC056D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1CF0580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2336F2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440F29E6">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44" w:name="_Toc31331"/>
      <w:bookmarkStart w:id="145" w:name="_Toc16330034"/>
      <w:bookmarkStart w:id="146" w:name="_Toc27202"/>
      <w:bookmarkStart w:id="147" w:name="_Toc10952"/>
      <w:bookmarkStart w:id="148" w:name="_Toc17656"/>
      <w:r>
        <w:rPr>
          <w:rFonts w:hint="eastAsia" w:ascii="黑体" w:hAnsi="黑体" w:eastAsia="黑体" w:cs="黑体"/>
          <w:b w:val="0"/>
          <w:iCs/>
          <w:kern w:val="2"/>
          <w:sz w:val="24"/>
          <w:szCs w:val="24"/>
          <w:lang w:val="en-US" w:eastAsia="zh-CN" w:bidi="ar-SA"/>
        </w:rPr>
        <w:t>17 其他规定</w:t>
      </w:r>
      <w:bookmarkEnd w:id="144"/>
      <w:bookmarkEnd w:id="145"/>
      <w:bookmarkEnd w:id="146"/>
      <w:bookmarkEnd w:id="147"/>
      <w:bookmarkEnd w:id="148"/>
    </w:p>
    <w:p w14:paraId="419082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1F8605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0DB7AA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458219D4">
      <w:pPr>
        <w:spacing w:after="0" w:line="360" w:lineRule="auto"/>
        <w:ind w:firstLine="480" w:firstLineChars="200"/>
        <w:rPr>
          <w:rFonts w:ascii="仿宋_GB2312" w:hAnsi="仿宋_GB2312" w:eastAsia="仿宋_GB2312" w:cs="仿宋_GB2312"/>
          <w:sz w:val="24"/>
          <w:szCs w:val="24"/>
        </w:rPr>
      </w:pPr>
      <w:bookmarkStart w:id="149" w:name="_Toc17952"/>
      <w:bookmarkStart w:id="150" w:name="_Toc16330035"/>
      <w:bookmarkStart w:id="151" w:name="_Toc19077"/>
      <w:bookmarkStart w:id="152" w:name="_Toc29136"/>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4789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0F105A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3" w:name="_Toc5855"/>
      <w:r>
        <w:rPr>
          <w:rFonts w:hint="eastAsia" w:ascii="黑体" w:hAnsi="黑体" w:eastAsia="黑体" w:cs="黑体"/>
          <w:b w:val="0"/>
          <w:iCs/>
          <w:kern w:val="2"/>
          <w:sz w:val="24"/>
          <w:szCs w:val="24"/>
          <w:lang w:val="en-US" w:eastAsia="zh-CN" w:bidi="ar-SA"/>
        </w:rPr>
        <w:t>18 签署事项</w:t>
      </w:r>
      <w:bookmarkEnd w:id="149"/>
      <w:bookmarkEnd w:id="150"/>
      <w:bookmarkEnd w:id="151"/>
      <w:bookmarkEnd w:id="152"/>
      <w:bookmarkEnd w:id="153"/>
    </w:p>
    <w:p w14:paraId="74BF4ED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sz w:val="24"/>
        </w:rPr>
        <w:t>本合同所有的手写涂改、一方擅自增加、删改、篡改部分无效（个人手写签名除外）</w:t>
      </w:r>
      <w:r>
        <w:rPr>
          <w:rFonts w:hint="eastAsia" w:ascii="仿宋_GB2312" w:hAnsi="仿宋_GB2312" w:eastAsia="仿宋_GB2312" w:cs="仿宋_GB2312"/>
          <w:sz w:val="24"/>
          <w:szCs w:val="24"/>
        </w:rPr>
        <w:t>。</w:t>
      </w:r>
    </w:p>
    <w:p w14:paraId="3009A56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1DE6FD41">
      <w:pPr>
        <w:widowControl/>
        <w:adjustRightInd w:val="0"/>
        <w:snapToGrid w:val="0"/>
        <w:spacing w:after="0" w:line="360" w:lineRule="auto"/>
        <w:jc w:val="left"/>
        <w:rPr>
          <w:rFonts w:hint="eastAsia" w:ascii="仿宋_GB2312" w:hAnsi="仿宋_GB2312" w:eastAsia="仿宋_GB2312" w:cs="仿宋_GB2312"/>
          <w:snapToGrid w:val="0"/>
          <w:kern w:val="0"/>
          <w:sz w:val="24"/>
          <w:szCs w:val="24"/>
          <w:lang w:eastAsia="zh-Hans"/>
        </w:rPr>
      </w:pPr>
    </w:p>
    <w:p w14:paraId="3D785BB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7"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7"/>
    </w:p>
    <w:p w14:paraId="4DA486E9">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6F97B9D8">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5D7DC7A9">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0E811AC">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8"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8"/>
    </w:p>
    <w:p w14:paraId="5BED1BEC">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1B22131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53AB4F82">
      <w:pPr>
        <w:rPr>
          <w:rFonts w:hint="eastAsia" w:ascii="黑体" w:hAnsi="黑体" w:eastAsia="黑体" w:cs="宋体"/>
          <w:sz w:val="28"/>
          <w:szCs w:val="28"/>
        </w:rPr>
      </w:pPr>
      <w:r>
        <w:rPr>
          <w:rFonts w:hint="eastAsia" w:ascii="黑体" w:hAnsi="黑体" w:eastAsia="黑体" w:cs="宋体"/>
          <w:sz w:val="28"/>
          <w:szCs w:val="28"/>
        </w:rPr>
        <w:br w:type="page"/>
      </w:r>
    </w:p>
    <w:p w14:paraId="6CB7F347">
      <w:pPr>
        <w:spacing w:after="0" w:line="240" w:lineRule="auto"/>
        <w:rPr>
          <w:rFonts w:ascii="Calibri" w:hAnsi="Calibri" w:eastAsia="宋体" w:cs="Times New Roman"/>
          <w:highlight w:val="yellow"/>
        </w:rPr>
      </w:pPr>
      <w:r>
        <w:rPr>
          <w:rFonts w:hint="eastAsia" w:ascii="黑体" w:hAnsi="黑体" w:eastAsia="黑体" w:cs="宋体"/>
          <w:sz w:val="28"/>
          <w:szCs w:val="28"/>
        </w:rPr>
        <w:t>附件一：设备清单明细表【作为附件另附】</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686"/>
        <w:gridCol w:w="2106"/>
        <w:gridCol w:w="636"/>
        <w:gridCol w:w="636"/>
        <w:gridCol w:w="846"/>
        <w:gridCol w:w="636"/>
        <w:gridCol w:w="636"/>
        <w:gridCol w:w="636"/>
        <w:gridCol w:w="636"/>
        <w:gridCol w:w="636"/>
      </w:tblGrid>
      <w:tr w14:paraId="6094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0" w:type="auto"/>
            <w:vAlign w:val="center"/>
          </w:tcPr>
          <w:p w14:paraId="77BEF0B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序号</w:t>
            </w:r>
          </w:p>
        </w:tc>
        <w:tc>
          <w:tcPr>
            <w:tcW w:w="0" w:type="auto"/>
            <w:vAlign w:val="center"/>
          </w:tcPr>
          <w:p w14:paraId="04CAAE4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产品及部件名称</w:t>
            </w:r>
          </w:p>
        </w:tc>
        <w:tc>
          <w:tcPr>
            <w:tcW w:w="0" w:type="auto"/>
            <w:vAlign w:val="center"/>
          </w:tcPr>
          <w:p w14:paraId="1FDEAF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规格型号及技术参数</w:t>
            </w:r>
          </w:p>
        </w:tc>
        <w:tc>
          <w:tcPr>
            <w:tcW w:w="0" w:type="auto"/>
            <w:vAlign w:val="center"/>
          </w:tcPr>
          <w:p w14:paraId="162D369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单位</w:t>
            </w:r>
          </w:p>
        </w:tc>
        <w:tc>
          <w:tcPr>
            <w:tcW w:w="0" w:type="auto"/>
            <w:vAlign w:val="center"/>
          </w:tcPr>
          <w:p w14:paraId="229427C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数量</w:t>
            </w:r>
          </w:p>
        </w:tc>
        <w:tc>
          <w:tcPr>
            <w:tcW w:w="0" w:type="auto"/>
            <w:vAlign w:val="center"/>
          </w:tcPr>
          <w:p w14:paraId="1C6566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不含税</w:t>
            </w:r>
          </w:p>
          <w:p w14:paraId="1358C9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276ED4B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税率</w:t>
            </w:r>
          </w:p>
        </w:tc>
        <w:tc>
          <w:tcPr>
            <w:tcW w:w="0" w:type="auto"/>
            <w:vAlign w:val="center"/>
          </w:tcPr>
          <w:p w14:paraId="1E445D0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税额</w:t>
            </w:r>
          </w:p>
        </w:tc>
        <w:tc>
          <w:tcPr>
            <w:tcW w:w="0" w:type="auto"/>
            <w:vAlign w:val="center"/>
          </w:tcPr>
          <w:p w14:paraId="74B9F0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含税</w:t>
            </w:r>
          </w:p>
          <w:p w14:paraId="51ED308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787020F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品牌</w:t>
            </w:r>
          </w:p>
        </w:tc>
        <w:tc>
          <w:tcPr>
            <w:tcW w:w="0" w:type="auto"/>
            <w:vAlign w:val="center"/>
          </w:tcPr>
          <w:p w14:paraId="00C460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其他</w:t>
            </w:r>
          </w:p>
        </w:tc>
      </w:tr>
      <w:tr w14:paraId="62EEF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59904AAA">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1</w:t>
            </w:r>
          </w:p>
        </w:tc>
        <w:tc>
          <w:tcPr>
            <w:tcW w:w="0" w:type="auto"/>
            <w:vAlign w:val="center"/>
          </w:tcPr>
          <w:p w14:paraId="145F10F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8771A7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FF731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F8D307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4B8C5D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5EE30C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AACC77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D94EC6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C33387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55BBD8">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2767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031D3892">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2</w:t>
            </w:r>
          </w:p>
        </w:tc>
        <w:tc>
          <w:tcPr>
            <w:tcW w:w="0" w:type="auto"/>
            <w:vAlign w:val="center"/>
          </w:tcPr>
          <w:p w14:paraId="509609A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9E967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0025EC7">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2B0AE2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89DAF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677FDA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6F1A98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FF11B6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25187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00CA8A7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30D7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6706C067">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w:t>
            </w:r>
          </w:p>
        </w:tc>
        <w:tc>
          <w:tcPr>
            <w:tcW w:w="0" w:type="auto"/>
            <w:vAlign w:val="center"/>
          </w:tcPr>
          <w:p w14:paraId="3438DAF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477B9D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397AE0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E209FA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101317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83D0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455194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F86E4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80716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0A03E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65779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1111CFEF">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合计</w:t>
            </w:r>
          </w:p>
        </w:tc>
        <w:tc>
          <w:tcPr>
            <w:tcW w:w="0" w:type="auto"/>
            <w:vAlign w:val="center"/>
          </w:tcPr>
          <w:p w14:paraId="798510D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9D16A1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FF67A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B6E8FE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7792998">
            <w:pPr>
              <w:spacing w:after="0" w:line="360" w:lineRule="auto"/>
              <w:jc w:val="center"/>
              <w:rPr>
                <w:rFonts w:ascii="仿宋_GB2312" w:hAnsi="宋体" w:eastAsia="仿宋_GB2312" w:cs="宋体"/>
              </w:rPr>
            </w:pPr>
          </w:p>
        </w:tc>
        <w:tc>
          <w:tcPr>
            <w:tcW w:w="0" w:type="auto"/>
            <w:vAlign w:val="center"/>
          </w:tcPr>
          <w:p w14:paraId="6E220184">
            <w:pPr>
              <w:spacing w:after="0" w:line="360" w:lineRule="auto"/>
              <w:jc w:val="center"/>
              <w:rPr>
                <w:rFonts w:ascii="仿宋_GB2312" w:hAnsi="宋体" w:eastAsia="仿宋_GB2312" w:cs="宋体"/>
              </w:rPr>
            </w:pPr>
          </w:p>
        </w:tc>
        <w:tc>
          <w:tcPr>
            <w:tcW w:w="0" w:type="auto"/>
            <w:vAlign w:val="center"/>
          </w:tcPr>
          <w:p w14:paraId="4A5B8689">
            <w:pPr>
              <w:spacing w:after="0" w:line="360" w:lineRule="auto"/>
              <w:jc w:val="center"/>
              <w:rPr>
                <w:rFonts w:ascii="仿宋_GB2312" w:hAnsi="宋体" w:eastAsia="仿宋_GB2312" w:cs="宋体"/>
              </w:rPr>
            </w:pPr>
          </w:p>
        </w:tc>
        <w:tc>
          <w:tcPr>
            <w:tcW w:w="0" w:type="auto"/>
            <w:vAlign w:val="center"/>
          </w:tcPr>
          <w:p w14:paraId="7E32BC93">
            <w:pPr>
              <w:spacing w:after="0" w:line="360" w:lineRule="auto"/>
              <w:jc w:val="center"/>
              <w:rPr>
                <w:rFonts w:ascii="仿宋_GB2312" w:hAnsi="宋体" w:eastAsia="仿宋_GB2312" w:cs="宋体"/>
              </w:rPr>
            </w:pPr>
          </w:p>
        </w:tc>
        <w:tc>
          <w:tcPr>
            <w:tcW w:w="0" w:type="auto"/>
            <w:vAlign w:val="center"/>
          </w:tcPr>
          <w:p w14:paraId="5A8B913F">
            <w:pPr>
              <w:spacing w:after="0" w:line="360" w:lineRule="auto"/>
              <w:jc w:val="center"/>
              <w:rPr>
                <w:rFonts w:ascii="仿宋_GB2312" w:hAnsi="宋体" w:eastAsia="仿宋_GB2312" w:cs="宋体"/>
              </w:rPr>
            </w:pPr>
          </w:p>
        </w:tc>
        <w:tc>
          <w:tcPr>
            <w:tcW w:w="0" w:type="auto"/>
            <w:vAlign w:val="center"/>
          </w:tcPr>
          <w:p w14:paraId="6FB02EC3">
            <w:pPr>
              <w:spacing w:after="0" w:line="360" w:lineRule="auto"/>
              <w:jc w:val="center"/>
              <w:rPr>
                <w:rFonts w:ascii="仿宋_GB2312" w:hAnsi="宋体" w:eastAsia="仿宋_GB2312" w:cs="宋体"/>
              </w:rPr>
            </w:pPr>
          </w:p>
        </w:tc>
      </w:tr>
    </w:tbl>
    <w:p w14:paraId="7693454E">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p>
    <w:p w14:paraId="485A778B">
      <w:pPr>
        <w:spacing w:after="0" w:line="240" w:lineRule="auto"/>
        <w:rPr>
          <w:rFonts w:ascii="宋体" w:hAnsi="宋体" w:eastAsia="宋体" w:cs="宋体"/>
          <w:sz w:val="20"/>
        </w:rPr>
      </w:pPr>
    </w:p>
    <w:p w14:paraId="49A0C834">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207BA57">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2316B5BB">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ED7970A">
      <w:pPr>
        <w:widowControl/>
        <w:adjustRightInd w:val="0"/>
        <w:snapToGrid w:val="0"/>
        <w:spacing w:after="0"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9F7E6D0">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7D1A8A26">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01774755">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56F1D9C0">
      <w:pPr>
        <w:widowControl/>
        <w:adjustRightInd w:val="0"/>
        <w:snapToGrid w:val="0"/>
        <w:spacing w:after="0"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7AFA55D">
      <w:pPr>
        <w:widowControl/>
        <w:adjustRightInd w:val="0"/>
        <w:snapToGrid w:val="0"/>
        <w:spacing w:after="0" w:line="360" w:lineRule="auto"/>
        <w:ind w:firstLine="482" w:firstLineChars="200"/>
        <w:jc w:val="left"/>
        <w:rPr>
          <w:rFonts w:hint="eastAsia" w:ascii="仿宋_GB2312" w:hAnsi="仿宋_GB2312" w:eastAsia="仿宋_GB2312" w:cs="仿宋_GB2312"/>
          <w:b/>
          <w:sz w:val="24"/>
          <w:szCs w:val="24"/>
          <w:u w:val="single"/>
        </w:rPr>
      </w:pPr>
    </w:p>
    <w:p w14:paraId="12C57460">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6F77CD5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2B50E1F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C1947DD">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6A0A90B0">
      <w:pPr>
        <w:widowControl/>
        <w:adjustRightInd/>
        <w:snapToGrid/>
        <w:spacing w:after="0" w:line="240" w:lineRule="auto"/>
        <w:jc w:val="left"/>
        <w:rPr>
          <w:rFonts w:hint="eastAsia" w:ascii="黑体" w:hAnsi="黑体" w:eastAsia="黑体" w:cs="宋体"/>
          <w:sz w:val="28"/>
          <w:szCs w:val="28"/>
          <w:lang w:eastAsia="zh-CN"/>
        </w:rPr>
      </w:pPr>
      <w:r>
        <w:rPr>
          <w:rFonts w:hint="eastAsia" w:ascii="黑体" w:hAnsi="黑体" w:eastAsia="黑体" w:cs="宋体"/>
          <w:sz w:val="28"/>
          <w:szCs w:val="28"/>
        </w:rPr>
        <w:t>附件二 技术协议书</w:t>
      </w:r>
      <w:r>
        <w:rPr>
          <w:rFonts w:hint="eastAsia" w:ascii="黑体" w:hAnsi="黑体" w:eastAsia="黑体" w:cs="宋体"/>
          <w:sz w:val="28"/>
          <w:szCs w:val="28"/>
          <w:lang w:eastAsia="zh-CN"/>
        </w:rPr>
        <w:t>【</w:t>
      </w:r>
      <w:r>
        <w:rPr>
          <w:rFonts w:hint="eastAsia" w:ascii="黑体" w:hAnsi="黑体" w:eastAsia="黑体" w:cs="宋体"/>
          <w:sz w:val="28"/>
          <w:szCs w:val="28"/>
        </w:rPr>
        <w:t>作为附件另附</w:t>
      </w:r>
      <w:r>
        <w:rPr>
          <w:rFonts w:hint="eastAsia" w:ascii="黑体" w:hAnsi="黑体" w:eastAsia="黑体" w:cs="宋体"/>
          <w:sz w:val="28"/>
          <w:szCs w:val="28"/>
          <w:lang w:eastAsia="zh-CN"/>
        </w:rPr>
        <w:t>】</w:t>
      </w:r>
    </w:p>
    <w:p w14:paraId="66358E74">
      <w:pPr>
        <w:rPr>
          <w:rFonts w:hint="eastAsia" w:ascii="黑体" w:hAnsi="黑体" w:eastAsia="黑体" w:cs="宋体"/>
          <w:sz w:val="28"/>
          <w:szCs w:val="28"/>
          <w:lang w:eastAsia="zh-CN"/>
        </w:rPr>
      </w:pPr>
      <w:r>
        <w:rPr>
          <w:rFonts w:hint="eastAsia" w:ascii="黑体" w:hAnsi="黑体" w:eastAsia="黑体" w:cs="宋体"/>
          <w:sz w:val="28"/>
          <w:szCs w:val="28"/>
          <w:lang w:eastAsia="zh-CN"/>
        </w:rPr>
        <w:br w:type="page"/>
      </w:r>
    </w:p>
    <w:p w14:paraId="0EB8BBEB">
      <w:pPr>
        <w:pStyle w:val="157"/>
        <w:rPr>
          <w:rFonts w:hint="default" w:eastAsia="黑体"/>
          <w:lang w:val="en-US" w:eastAsia="zh-CN"/>
        </w:rPr>
      </w:pPr>
      <w:bookmarkStart w:id="154" w:name="_Toc47976615"/>
      <w:bookmarkStart w:id="155" w:name="_Toc14376"/>
      <w:bookmarkStart w:id="156" w:name="_Toc5925"/>
      <w:r>
        <w:rPr>
          <w:rFonts w:hint="eastAsia"/>
        </w:rPr>
        <w:t>第四部分　</w:t>
      </w:r>
      <w:bookmarkEnd w:id="154"/>
      <w:r>
        <w:rPr>
          <w:rFonts w:hint="eastAsia"/>
          <w:lang w:val="en-US" w:eastAsia="zh-CN"/>
        </w:rPr>
        <w:t>投标文件附件</w:t>
      </w:r>
      <w:bookmarkEnd w:id="155"/>
      <w:bookmarkEnd w:id="156"/>
    </w:p>
    <w:p w14:paraId="600DE1DD">
      <w:pPr>
        <w:pStyle w:val="157"/>
        <w:jc w:val="left"/>
        <w:rPr>
          <w:rFonts w:hint="eastAsia" w:ascii="宋体" w:hAnsi="宋体" w:eastAsia="宋体" w:cs="宋体"/>
          <w:sz w:val="32"/>
          <w:szCs w:val="32"/>
          <w:highlight w:val="none"/>
          <w:lang w:eastAsia="zh-CN"/>
        </w:rPr>
      </w:pPr>
      <w:bookmarkStart w:id="157" w:name="_Toc4225"/>
      <w:bookmarkStart w:id="158" w:name="_Toc47976616"/>
      <w:bookmarkStart w:id="159" w:name="_Toc78"/>
      <w:r>
        <w:rPr>
          <w:rFonts w:hint="eastAsia" w:ascii="宋体" w:hAnsi="宋体" w:eastAsia="宋体" w:cs="宋体"/>
          <w:sz w:val="32"/>
          <w:szCs w:val="32"/>
          <w:highlight w:val="none"/>
        </w:rPr>
        <w:t>附件</w:t>
      </w:r>
      <w:bookmarkEnd w:id="157"/>
      <w:bookmarkEnd w:id="158"/>
      <w:r>
        <w:rPr>
          <w:rFonts w:hint="eastAsia" w:ascii="宋体" w:hAnsi="宋体" w:eastAsia="宋体" w:cs="宋体"/>
          <w:sz w:val="32"/>
          <w:szCs w:val="32"/>
          <w:highlight w:val="none"/>
          <w:lang w:val="en-US" w:eastAsia="zh-CN"/>
        </w:rPr>
        <w:t>1</w:t>
      </w:r>
      <w:bookmarkEnd w:id="159"/>
    </w:p>
    <w:p w14:paraId="3D26BC99">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14:paraId="0B39DB8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有限公司：</w:t>
      </w:r>
    </w:p>
    <w:p w14:paraId="7F916B1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14:paraId="26D6294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71FBB53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p>
    <w:p w14:paraId="459E3F15">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24E63A1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40F28EC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1D482AF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43152E4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2F8C4A4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0446231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7045671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284F62A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50D9D845">
      <w:pPr>
        <w:rPr>
          <w:rFonts w:ascii="黑体" w:hAnsi="Calibri" w:eastAsia="黑体" w:cs="Times New Roman"/>
          <w:color w:val="000000"/>
          <w:sz w:val="24"/>
          <w:szCs w:val="24"/>
          <w:highlight w:val="none"/>
        </w:rPr>
      </w:pPr>
    </w:p>
    <w:p w14:paraId="32681108">
      <w:pPr>
        <w:jc w:val="both"/>
        <w:rPr>
          <w:rFonts w:ascii="宋体"/>
          <w:b/>
          <w:color w:val="000000"/>
          <w:szCs w:val="24"/>
          <w:highlight w:val="none"/>
        </w:rPr>
      </w:pPr>
    </w:p>
    <w:p w14:paraId="57006D89">
      <w:pPr>
        <w:pStyle w:val="158"/>
        <w:numPr>
          <w:ilvl w:val="0"/>
          <w:numId w:val="0"/>
        </w:numPr>
        <w:ind w:leftChars="0"/>
        <w:rPr>
          <w:rFonts w:hint="eastAsia" w:ascii="宋体" w:hAnsi="宋体" w:eastAsia="宋体" w:cs="宋体"/>
          <w:sz w:val="32"/>
          <w:szCs w:val="32"/>
          <w:highlight w:val="none"/>
          <w:lang w:val="en-US" w:eastAsia="zh-CN"/>
        </w:rPr>
      </w:pPr>
      <w:bookmarkStart w:id="160" w:name="_Toc47976618"/>
      <w:bookmarkStart w:id="161" w:name="_Toc29366865"/>
      <w:bookmarkStart w:id="162" w:name="_Toc29366869"/>
      <w:r>
        <w:rPr>
          <w:rFonts w:hint="eastAsia" w:ascii="宋体" w:hAnsi="宋体" w:eastAsia="宋体" w:cs="宋体"/>
          <w:sz w:val="32"/>
          <w:szCs w:val="32"/>
          <w:highlight w:val="none"/>
          <w:lang w:val="en-US" w:eastAsia="zh-CN"/>
        </w:rPr>
        <w:t>附件2</w:t>
      </w:r>
      <w:bookmarkEnd w:id="160"/>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u w:val="single"/>
          <w:lang w:val="en-US" w:eastAsia="zh-CN"/>
        </w:rPr>
        <w:t>新能源轻卡怀挡车型改造项目-焊装线改造项目（ZBGL2026020231</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7"/>
      </w:pPr>
    </w:p>
    <w:p w14:paraId="3A5DEF51">
      <w:pPr>
        <w:spacing w:line="360" w:lineRule="auto"/>
        <w:rPr>
          <w:rFonts w:ascii="宋体" w:hAnsi="宋体" w:cs="宋体"/>
          <w:sz w:val="24"/>
          <w:szCs w:val="21"/>
        </w:rPr>
      </w:pPr>
    </w:p>
    <w:bookmarkEnd w:id="161"/>
    <w:bookmarkEnd w:id="162"/>
    <w:p w14:paraId="33174FF7">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5"/>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37"/>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37"/>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37"/>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37"/>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37"/>
              <w:spacing w:before="111"/>
              <w:ind w:left="509"/>
            </w:pPr>
            <w:r>
              <w:t xml:space="preserve">企业法人代表  </w:t>
            </w:r>
          </w:p>
        </w:tc>
        <w:tc>
          <w:tcPr>
            <w:tcW w:w="4680" w:type="dxa"/>
            <w:gridSpan w:val="4"/>
          </w:tcPr>
          <w:p w14:paraId="19E9CD95">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37"/>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37"/>
              <w:spacing w:before="114"/>
              <w:ind w:left="720"/>
            </w:pPr>
            <w:r>
              <w:t xml:space="preserve">品牌区分 </w:t>
            </w:r>
          </w:p>
        </w:tc>
        <w:tc>
          <w:tcPr>
            <w:tcW w:w="7500" w:type="dxa"/>
            <w:gridSpan w:val="6"/>
          </w:tcPr>
          <w:p w14:paraId="6CB73591">
            <w:pPr>
              <w:pStyle w:val="137"/>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37"/>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37"/>
              <w:spacing w:before="15"/>
              <w:ind w:left="279"/>
            </w:pPr>
            <w:r>
              <w:rPr>
                <w:spacing w:val="-2"/>
              </w:rPr>
              <w:t>质量</w:t>
            </w:r>
            <w:r>
              <w:t xml:space="preserve"> </w:t>
            </w:r>
          </w:p>
          <w:p w14:paraId="7E67F972">
            <w:pPr>
              <w:pStyle w:val="137"/>
              <w:spacing w:before="30" w:line="277" w:lineRule="exact"/>
              <w:ind w:left="279"/>
            </w:pPr>
            <w:r>
              <w:rPr>
                <w:rFonts w:hint="eastAsia"/>
              </w:rPr>
              <w:t>体系</w:t>
            </w:r>
          </w:p>
        </w:tc>
        <w:tc>
          <w:tcPr>
            <w:tcW w:w="2820" w:type="dxa"/>
            <w:gridSpan w:val="2"/>
          </w:tcPr>
          <w:p w14:paraId="75D97D6D">
            <w:pPr>
              <w:pStyle w:val="137"/>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37"/>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6D8FE5C8">
      <w:pPr>
        <w:rPr>
          <w:rFonts w:hAnsi="宋体" w:eastAsia="宋体" w:cs="宋体"/>
          <w:spacing w:val="-9"/>
          <w:sz w:val="24"/>
          <w:szCs w:val="24"/>
          <w14:textOutline w14:w="4356" w14:cap="flat" w14:cmpd="sng" w14:algn="ctr">
            <w14:solidFill>
              <w14:srgbClr w14:val="000000"/>
            </w14:solidFill>
            <w14:prstDash w14:val="solid"/>
            <w14:miter w14:val="0"/>
          </w14:textOutline>
        </w:rPr>
      </w:pPr>
      <w:r>
        <w:rPr>
          <w:rFonts w:hAnsi="宋体" w:eastAsia="宋体" w:cs="宋体"/>
          <w:spacing w:val="-9"/>
          <w:sz w:val="24"/>
          <w:szCs w:val="24"/>
          <w14:textOutline w14:w="4356" w14:cap="flat" w14:cmpd="sng" w14:algn="ctr">
            <w14:solidFill>
              <w14:srgbClr w14:val="000000"/>
            </w14:solidFill>
            <w14:prstDash w14:val="solid"/>
            <w14:miter w14:val="0"/>
          </w14:textOutline>
        </w:rPr>
        <w:br w:type="page"/>
      </w:r>
    </w:p>
    <w:p w14:paraId="3AF3DD77">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883E50A">
      <w:pPr>
        <w:pStyle w:val="17"/>
        <w:rPr>
          <w:rFonts w:ascii="Times New Roman" w:hAnsi="Times New Roman" w:eastAsia="宋体" w:cs="Times New Roman"/>
          <w:b/>
          <w:bCs/>
          <w:color w:val="000000"/>
          <w:sz w:val="24"/>
          <w:szCs w:val="24"/>
        </w:rPr>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048B63AC">
            <w:pPr>
              <w:spacing w:line="440" w:lineRule="exact"/>
              <w:jc w:val="center"/>
              <w:rPr>
                <w:rFonts w:ascii="宋体" w:hAnsi="宋体"/>
                <w:color w:val="000000"/>
                <w:sz w:val="24"/>
                <w:szCs w:val="24"/>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7C3827E">
            <w:pPr>
              <w:spacing w:line="440" w:lineRule="exact"/>
              <w:jc w:val="center"/>
              <w:rPr>
                <w:rFonts w:ascii="宋体" w:hAnsi="宋体"/>
                <w:color w:val="000000"/>
                <w:sz w:val="24"/>
                <w:szCs w:val="24"/>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64720DD">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1C48CB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C57E8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F8980BD">
            <w:pPr>
              <w:spacing w:line="440" w:lineRule="exact"/>
              <w:jc w:val="center"/>
              <w:rPr>
                <w:rFonts w:ascii="宋体" w:hAnsi="宋体"/>
                <w:color w:val="000000"/>
                <w:sz w:val="24"/>
                <w:szCs w:val="24"/>
              </w:rPr>
            </w:pPr>
          </w:p>
        </w:tc>
        <w:tc>
          <w:tcPr>
            <w:tcW w:w="1288" w:type="dxa"/>
          </w:tcPr>
          <w:p w14:paraId="291C90DA">
            <w:pPr>
              <w:spacing w:line="440" w:lineRule="exact"/>
              <w:jc w:val="center"/>
              <w:rPr>
                <w:rFonts w:ascii="宋体" w:hAnsi="宋体"/>
                <w:color w:val="000000"/>
                <w:sz w:val="24"/>
                <w:szCs w:val="24"/>
              </w:rPr>
            </w:pPr>
          </w:p>
        </w:tc>
        <w:tc>
          <w:tcPr>
            <w:tcW w:w="1288" w:type="dxa"/>
          </w:tcPr>
          <w:p w14:paraId="47EDCBE5">
            <w:pPr>
              <w:spacing w:line="440" w:lineRule="exact"/>
              <w:jc w:val="center"/>
              <w:rPr>
                <w:rFonts w:ascii="宋体" w:hAnsi="宋体"/>
                <w:color w:val="000000"/>
                <w:sz w:val="24"/>
                <w:szCs w:val="24"/>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C4E3409">
            <w:pPr>
              <w:spacing w:line="440" w:lineRule="exact"/>
              <w:jc w:val="center"/>
              <w:rPr>
                <w:rFonts w:ascii="宋体" w:hAnsi="宋体"/>
                <w:color w:val="000000"/>
                <w:sz w:val="24"/>
                <w:szCs w:val="24"/>
              </w:rPr>
            </w:pPr>
          </w:p>
        </w:tc>
        <w:tc>
          <w:tcPr>
            <w:tcW w:w="1288" w:type="dxa"/>
          </w:tcPr>
          <w:p w14:paraId="5F2F372D">
            <w:pPr>
              <w:spacing w:line="440" w:lineRule="exact"/>
              <w:jc w:val="center"/>
              <w:rPr>
                <w:rFonts w:ascii="宋体" w:hAnsi="宋体"/>
                <w:color w:val="000000"/>
                <w:sz w:val="24"/>
                <w:szCs w:val="24"/>
              </w:rPr>
            </w:pPr>
          </w:p>
        </w:tc>
        <w:tc>
          <w:tcPr>
            <w:tcW w:w="1288" w:type="dxa"/>
          </w:tcPr>
          <w:p w14:paraId="3164A792">
            <w:pPr>
              <w:spacing w:line="440" w:lineRule="exact"/>
              <w:jc w:val="center"/>
              <w:rPr>
                <w:rFonts w:ascii="宋体" w:hAnsi="宋体"/>
                <w:color w:val="000000"/>
                <w:sz w:val="24"/>
                <w:szCs w:val="24"/>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1C6D2C3">
            <w:pPr>
              <w:spacing w:line="440" w:lineRule="exact"/>
              <w:jc w:val="center"/>
              <w:rPr>
                <w:rFonts w:ascii="宋体" w:hAnsi="宋体"/>
                <w:color w:val="000000"/>
                <w:sz w:val="24"/>
                <w:szCs w:val="24"/>
              </w:rPr>
            </w:pPr>
          </w:p>
        </w:tc>
        <w:tc>
          <w:tcPr>
            <w:tcW w:w="1288" w:type="dxa"/>
          </w:tcPr>
          <w:p w14:paraId="73907D1F">
            <w:pPr>
              <w:spacing w:line="440" w:lineRule="exact"/>
              <w:jc w:val="center"/>
              <w:rPr>
                <w:rFonts w:ascii="宋体" w:hAnsi="宋体"/>
                <w:color w:val="000000"/>
                <w:sz w:val="24"/>
                <w:szCs w:val="24"/>
              </w:rPr>
            </w:pPr>
          </w:p>
        </w:tc>
        <w:tc>
          <w:tcPr>
            <w:tcW w:w="1288" w:type="dxa"/>
          </w:tcPr>
          <w:p w14:paraId="091CF8E3">
            <w:pPr>
              <w:spacing w:line="440" w:lineRule="exact"/>
              <w:jc w:val="center"/>
              <w:rPr>
                <w:rFonts w:ascii="宋体" w:hAnsi="宋体"/>
                <w:color w:val="000000"/>
                <w:sz w:val="24"/>
                <w:szCs w:val="24"/>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8CAB6A">
            <w:pPr>
              <w:spacing w:line="440" w:lineRule="exact"/>
              <w:jc w:val="center"/>
              <w:rPr>
                <w:rFonts w:ascii="宋体" w:hAnsi="宋体"/>
                <w:color w:val="000000"/>
                <w:sz w:val="24"/>
                <w:szCs w:val="24"/>
              </w:rPr>
            </w:pPr>
          </w:p>
        </w:tc>
        <w:tc>
          <w:tcPr>
            <w:tcW w:w="1288" w:type="dxa"/>
          </w:tcPr>
          <w:p w14:paraId="029904DC">
            <w:pPr>
              <w:spacing w:line="440" w:lineRule="exact"/>
              <w:jc w:val="center"/>
              <w:rPr>
                <w:rFonts w:ascii="宋体" w:hAnsi="宋体"/>
                <w:color w:val="000000"/>
                <w:sz w:val="24"/>
                <w:szCs w:val="24"/>
              </w:rPr>
            </w:pPr>
          </w:p>
        </w:tc>
        <w:tc>
          <w:tcPr>
            <w:tcW w:w="1288" w:type="dxa"/>
          </w:tcPr>
          <w:p w14:paraId="435C2F6F">
            <w:pPr>
              <w:spacing w:line="440" w:lineRule="exact"/>
              <w:jc w:val="center"/>
              <w:rPr>
                <w:rFonts w:ascii="宋体" w:hAnsi="宋体"/>
                <w:color w:val="000000"/>
                <w:sz w:val="24"/>
                <w:szCs w:val="24"/>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DD10C49">
            <w:pPr>
              <w:spacing w:line="440" w:lineRule="exact"/>
              <w:jc w:val="center"/>
              <w:rPr>
                <w:rFonts w:ascii="宋体" w:hAnsi="宋体"/>
                <w:color w:val="000000"/>
                <w:sz w:val="24"/>
                <w:szCs w:val="24"/>
              </w:rPr>
            </w:pPr>
          </w:p>
        </w:tc>
        <w:tc>
          <w:tcPr>
            <w:tcW w:w="1288" w:type="dxa"/>
          </w:tcPr>
          <w:p w14:paraId="27D1005F">
            <w:pPr>
              <w:spacing w:line="440" w:lineRule="exact"/>
              <w:jc w:val="center"/>
              <w:rPr>
                <w:rFonts w:ascii="宋体" w:hAnsi="宋体"/>
                <w:color w:val="000000"/>
                <w:sz w:val="24"/>
                <w:szCs w:val="24"/>
              </w:rPr>
            </w:pPr>
          </w:p>
        </w:tc>
        <w:tc>
          <w:tcPr>
            <w:tcW w:w="1288" w:type="dxa"/>
          </w:tcPr>
          <w:p w14:paraId="18080AAA">
            <w:pPr>
              <w:spacing w:line="440" w:lineRule="exact"/>
              <w:jc w:val="center"/>
              <w:rPr>
                <w:rFonts w:ascii="宋体" w:hAnsi="宋体"/>
                <w:color w:val="000000"/>
                <w:sz w:val="24"/>
                <w:szCs w:val="24"/>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68EC049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41791BBA">
            <w:pPr>
              <w:spacing w:line="440" w:lineRule="exact"/>
              <w:jc w:val="center"/>
              <w:rPr>
                <w:rFonts w:ascii="宋体" w:hAnsi="宋体"/>
                <w:color w:val="000000"/>
                <w:sz w:val="24"/>
                <w:szCs w:val="24"/>
              </w:rPr>
            </w:pPr>
          </w:p>
        </w:tc>
        <w:tc>
          <w:tcPr>
            <w:tcW w:w="1288" w:type="dxa"/>
          </w:tcPr>
          <w:p w14:paraId="5E29869C">
            <w:pPr>
              <w:spacing w:line="440" w:lineRule="exact"/>
              <w:jc w:val="center"/>
              <w:rPr>
                <w:rFonts w:ascii="宋体" w:hAnsi="宋体"/>
                <w:color w:val="000000"/>
                <w:sz w:val="24"/>
                <w:szCs w:val="24"/>
              </w:rPr>
            </w:pPr>
          </w:p>
        </w:tc>
        <w:tc>
          <w:tcPr>
            <w:tcW w:w="1288" w:type="dxa"/>
          </w:tcPr>
          <w:p w14:paraId="7A1DF8EB">
            <w:pPr>
              <w:spacing w:line="440" w:lineRule="exact"/>
              <w:jc w:val="center"/>
              <w:rPr>
                <w:rFonts w:ascii="宋体" w:hAnsi="宋体"/>
                <w:color w:val="000000"/>
                <w:sz w:val="24"/>
                <w:szCs w:val="24"/>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2AF268DC">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0AD9A83">
            <w:pPr>
              <w:spacing w:line="440" w:lineRule="exact"/>
              <w:jc w:val="center"/>
              <w:rPr>
                <w:rFonts w:ascii="宋体" w:hAnsi="宋体"/>
                <w:color w:val="000000"/>
                <w:sz w:val="24"/>
                <w:szCs w:val="24"/>
              </w:rPr>
            </w:pPr>
          </w:p>
        </w:tc>
        <w:tc>
          <w:tcPr>
            <w:tcW w:w="1288" w:type="dxa"/>
          </w:tcPr>
          <w:p w14:paraId="0F0D5E39">
            <w:pPr>
              <w:spacing w:line="440" w:lineRule="exact"/>
              <w:jc w:val="center"/>
              <w:rPr>
                <w:rFonts w:ascii="宋体" w:hAnsi="宋体"/>
                <w:color w:val="000000"/>
                <w:sz w:val="24"/>
                <w:szCs w:val="24"/>
              </w:rPr>
            </w:pPr>
          </w:p>
        </w:tc>
        <w:tc>
          <w:tcPr>
            <w:tcW w:w="1288" w:type="dxa"/>
          </w:tcPr>
          <w:p w14:paraId="0EE460E4">
            <w:pPr>
              <w:spacing w:line="440" w:lineRule="exact"/>
              <w:jc w:val="center"/>
              <w:rPr>
                <w:rFonts w:ascii="宋体" w:hAnsi="宋体"/>
                <w:color w:val="000000"/>
                <w:sz w:val="24"/>
                <w:szCs w:val="24"/>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4871F99">
            <w:pPr>
              <w:spacing w:line="440" w:lineRule="exact"/>
              <w:jc w:val="center"/>
              <w:rPr>
                <w:rFonts w:ascii="宋体" w:hAnsi="宋体"/>
                <w:color w:val="000000"/>
                <w:sz w:val="24"/>
                <w:szCs w:val="24"/>
              </w:rPr>
            </w:pPr>
          </w:p>
        </w:tc>
        <w:tc>
          <w:tcPr>
            <w:tcW w:w="1288" w:type="dxa"/>
          </w:tcPr>
          <w:p w14:paraId="0ED3FDD6">
            <w:pPr>
              <w:spacing w:line="440" w:lineRule="exact"/>
              <w:jc w:val="center"/>
              <w:rPr>
                <w:rFonts w:ascii="宋体" w:hAnsi="宋体"/>
                <w:color w:val="000000"/>
                <w:sz w:val="24"/>
                <w:szCs w:val="24"/>
              </w:rPr>
            </w:pPr>
          </w:p>
        </w:tc>
        <w:tc>
          <w:tcPr>
            <w:tcW w:w="1288" w:type="dxa"/>
          </w:tcPr>
          <w:p w14:paraId="75BDB8A1">
            <w:pPr>
              <w:spacing w:line="440" w:lineRule="exact"/>
              <w:jc w:val="center"/>
              <w:rPr>
                <w:rFonts w:ascii="宋体" w:hAnsi="宋体"/>
                <w:color w:val="000000"/>
                <w:sz w:val="24"/>
                <w:szCs w:val="24"/>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45652DB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597CEC0">
            <w:pPr>
              <w:spacing w:line="440" w:lineRule="exact"/>
              <w:jc w:val="center"/>
              <w:rPr>
                <w:rFonts w:ascii="宋体" w:hAnsi="宋体"/>
                <w:color w:val="000000"/>
                <w:sz w:val="24"/>
                <w:szCs w:val="24"/>
              </w:rPr>
            </w:pPr>
          </w:p>
        </w:tc>
        <w:tc>
          <w:tcPr>
            <w:tcW w:w="1288" w:type="dxa"/>
          </w:tcPr>
          <w:p w14:paraId="3BE36C99">
            <w:pPr>
              <w:spacing w:line="440" w:lineRule="exact"/>
              <w:jc w:val="center"/>
              <w:rPr>
                <w:rFonts w:ascii="宋体" w:hAnsi="宋体"/>
                <w:color w:val="000000"/>
                <w:sz w:val="24"/>
                <w:szCs w:val="24"/>
              </w:rPr>
            </w:pPr>
          </w:p>
        </w:tc>
        <w:tc>
          <w:tcPr>
            <w:tcW w:w="1288" w:type="dxa"/>
          </w:tcPr>
          <w:p w14:paraId="1ECA030C">
            <w:pPr>
              <w:spacing w:line="440" w:lineRule="exact"/>
              <w:jc w:val="center"/>
              <w:rPr>
                <w:rFonts w:ascii="宋体" w:hAnsi="宋体"/>
                <w:color w:val="000000"/>
                <w:sz w:val="24"/>
                <w:szCs w:val="24"/>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4521BB3">
            <w:pPr>
              <w:spacing w:line="440" w:lineRule="exact"/>
              <w:jc w:val="center"/>
              <w:rPr>
                <w:rFonts w:ascii="宋体" w:hAnsi="宋体"/>
                <w:color w:val="000000"/>
                <w:sz w:val="24"/>
                <w:szCs w:val="24"/>
              </w:rPr>
            </w:pPr>
          </w:p>
        </w:tc>
        <w:tc>
          <w:tcPr>
            <w:tcW w:w="1288" w:type="dxa"/>
          </w:tcPr>
          <w:p w14:paraId="2CFD5907">
            <w:pPr>
              <w:spacing w:line="440" w:lineRule="exact"/>
              <w:jc w:val="center"/>
              <w:rPr>
                <w:rFonts w:ascii="宋体" w:hAnsi="宋体"/>
                <w:color w:val="000000"/>
                <w:sz w:val="24"/>
                <w:szCs w:val="24"/>
              </w:rPr>
            </w:pPr>
          </w:p>
        </w:tc>
        <w:tc>
          <w:tcPr>
            <w:tcW w:w="1288" w:type="dxa"/>
          </w:tcPr>
          <w:p w14:paraId="0E4D2176">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04B7FF">
      <w:pPr>
        <w:spacing w:line="660" w:lineRule="exact"/>
        <w:ind w:firstLine="240" w:firstLineChars="100"/>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8232209">
      <w:pPr>
        <w:rPr>
          <w:rFonts w:hint="eastAsia" w:ascii="宋体" w:hAnsi="宋体" w:eastAsia="宋体" w:cs="Times New Roman"/>
          <w:sz w:val="24"/>
          <w:szCs w:val="20"/>
        </w:rPr>
      </w:pPr>
      <w:r>
        <w:rPr>
          <w:rFonts w:hint="eastAsia" w:ascii="宋体" w:hAnsi="宋体" w:eastAsia="宋体" w:cs="Times New Roman"/>
          <w:sz w:val="24"/>
          <w:szCs w:val="20"/>
        </w:rPr>
        <w:br w:type="page"/>
      </w: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76BA2708">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2000F02">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572BC8C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5C1C4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p>
    <w:tbl>
      <w:tblPr>
        <w:tblStyle w:val="3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7F649D3">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7AFA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EE2E1E1">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w:t>
            </w:r>
          </w:p>
        </w:tc>
        <w:tc>
          <w:tcPr>
            <w:tcW w:w="3449" w:type="dxa"/>
          </w:tcPr>
          <w:p w14:paraId="37179F11">
            <w:pPr>
              <w:jc w:val="center"/>
              <w:rPr>
                <w:rFonts w:ascii="Times New Roman" w:hAnsi="Times New Roman" w:eastAsia="宋体" w:cs="Times New Roman"/>
                <w:b/>
                <w:sz w:val="24"/>
                <w:szCs w:val="20"/>
              </w:rPr>
            </w:pPr>
          </w:p>
        </w:tc>
        <w:tc>
          <w:tcPr>
            <w:tcW w:w="2414" w:type="dxa"/>
          </w:tcPr>
          <w:p w14:paraId="203E3096">
            <w:pPr>
              <w:jc w:val="center"/>
              <w:rPr>
                <w:rFonts w:ascii="Times New Roman" w:hAnsi="Times New Roman" w:eastAsia="宋体" w:cs="Times New Roman"/>
                <w:b/>
                <w:sz w:val="24"/>
                <w:szCs w:val="20"/>
              </w:rPr>
            </w:pPr>
          </w:p>
        </w:tc>
        <w:tc>
          <w:tcPr>
            <w:tcW w:w="1608" w:type="dxa"/>
          </w:tcPr>
          <w:p w14:paraId="0CDAA311">
            <w:pPr>
              <w:jc w:val="center"/>
              <w:rPr>
                <w:rFonts w:ascii="Times New Roman" w:hAnsi="Times New Roman" w:eastAsia="宋体" w:cs="Times New Roman"/>
                <w:b/>
                <w:sz w:val="24"/>
                <w:szCs w:val="20"/>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2</w:t>
            </w:r>
          </w:p>
        </w:tc>
        <w:tc>
          <w:tcPr>
            <w:tcW w:w="3449" w:type="dxa"/>
          </w:tcPr>
          <w:p w14:paraId="15895F3C">
            <w:pPr>
              <w:jc w:val="center"/>
              <w:rPr>
                <w:rFonts w:ascii="Times New Roman" w:hAnsi="Times New Roman" w:eastAsia="宋体" w:cs="Times New Roman"/>
                <w:b/>
                <w:sz w:val="24"/>
                <w:szCs w:val="20"/>
              </w:rPr>
            </w:pPr>
          </w:p>
        </w:tc>
        <w:tc>
          <w:tcPr>
            <w:tcW w:w="2414" w:type="dxa"/>
          </w:tcPr>
          <w:p w14:paraId="52174342">
            <w:pPr>
              <w:jc w:val="center"/>
              <w:rPr>
                <w:rFonts w:ascii="Times New Roman" w:hAnsi="Times New Roman" w:eastAsia="宋体" w:cs="Times New Roman"/>
                <w:b/>
                <w:sz w:val="24"/>
                <w:szCs w:val="20"/>
              </w:rPr>
            </w:pPr>
          </w:p>
        </w:tc>
        <w:tc>
          <w:tcPr>
            <w:tcW w:w="1608" w:type="dxa"/>
          </w:tcPr>
          <w:p w14:paraId="617C193C">
            <w:pPr>
              <w:jc w:val="center"/>
              <w:rPr>
                <w:rFonts w:ascii="Times New Roman" w:hAnsi="Times New Roman" w:eastAsia="宋体" w:cs="Times New Roman"/>
                <w:b/>
                <w:sz w:val="24"/>
                <w:szCs w:val="20"/>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3</w:t>
            </w:r>
          </w:p>
        </w:tc>
        <w:tc>
          <w:tcPr>
            <w:tcW w:w="3449" w:type="dxa"/>
          </w:tcPr>
          <w:p w14:paraId="64B667A5">
            <w:pPr>
              <w:jc w:val="center"/>
              <w:rPr>
                <w:rFonts w:ascii="Times New Roman" w:hAnsi="Times New Roman" w:eastAsia="宋体" w:cs="Times New Roman"/>
                <w:b/>
                <w:sz w:val="24"/>
                <w:szCs w:val="20"/>
              </w:rPr>
            </w:pPr>
          </w:p>
        </w:tc>
        <w:tc>
          <w:tcPr>
            <w:tcW w:w="2414" w:type="dxa"/>
          </w:tcPr>
          <w:p w14:paraId="44B3071A">
            <w:pPr>
              <w:jc w:val="center"/>
              <w:rPr>
                <w:rFonts w:ascii="Times New Roman" w:hAnsi="Times New Roman" w:eastAsia="宋体" w:cs="Times New Roman"/>
                <w:b/>
                <w:sz w:val="24"/>
                <w:szCs w:val="20"/>
              </w:rPr>
            </w:pPr>
          </w:p>
        </w:tc>
        <w:tc>
          <w:tcPr>
            <w:tcW w:w="1608" w:type="dxa"/>
          </w:tcPr>
          <w:p w14:paraId="232438FA">
            <w:pPr>
              <w:jc w:val="center"/>
              <w:rPr>
                <w:rFonts w:ascii="Times New Roman" w:hAnsi="Times New Roman" w:eastAsia="宋体" w:cs="Times New Roman"/>
                <w:b/>
                <w:sz w:val="24"/>
                <w:szCs w:val="20"/>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4</w:t>
            </w:r>
          </w:p>
        </w:tc>
        <w:tc>
          <w:tcPr>
            <w:tcW w:w="3449" w:type="dxa"/>
          </w:tcPr>
          <w:p w14:paraId="0C3A5831">
            <w:pPr>
              <w:jc w:val="center"/>
              <w:rPr>
                <w:rFonts w:ascii="Times New Roman" w:hAnsi="Times New Roman" w:eastAsia="宋体" w:cs="Times New Roman"/>
                <w:b/>
                <w:sz w:val="24"/>
                <w:szCs w:val="20"/>
              </w:rPr>
            </w:pPr>
          </w:p>
        </w:tc>
        <w:tc>
          <w:tcPr>
            <w:tcW w:w="2414" w:type="dxa"/>
          </w:tcPr>
          <w:p w14:paraId="3555FD0F">
            <w:pPr>
              <w:jc w:val="center"/>
              <w:rPr>
                <w:rFonts w:ascii="Times New Roman" w:hAnsi="Times New Roman" w:eastAsia="宋体" w:cs="Times New Roman"/>
                <w:b/>
                <w:sz w:val="24"/>
                <w:szCs w:val="20"/>
              </w:rPr>
            </w:pPr>
          </w:p>
        </w:tc>
        <w:tc>
          <w:tcPr>
            <w:tcW w:w="1608" w:type="dxa"/>
          </w:tcPr>
          <w:p w14:paraId="3ED9F733">
            <w:pPr>
              <w:jc w:val="center"/>
              <w:rPr>
                <w:rFonts w:ascii="Times New Roman" w:hAnsi="Times New Roman" w:eastAsia="宋体" w:cs="Times New Roman"/>
                <w:b/>
                <w:sz w:val="24"/>
                <w:szCs w:val="20"/>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5</w:t>
            </w:r>
          </w:p>
        </w:tc>
        <w:tc>
          <w:tcPr>
            <w:tcW w:w="3449" w:type="dxa"/>
          </w:tcPr>
          <w:p w14:paraId="5518B909">
            <w:pPr>
              <w:jc w:val="center"/>
              <w:rPr>
                <w:rFonts w:ascii="Times New Roman" w:hAnsi="Times New Roman" w:eastAsia="宋体" w:cs="Times New Roman"/>
                <w:b/>
                <w:sz w:val="24"/>
                <w:szCs w:val="20"/>
              </w:rPr>
            </w:pPr>
          </w:p>
        </w:tc>
        <w:tc>
          <w:tcPr>
            <w:tcW w:w="2414" w:type="dxa"/>
          </w:tcPr>
          <w:p w14:paraId="307F7080">
            <w:pPr>
              <w:jc w:val="center"/>
              <w:rPr>
                <w:rFonts w:ascii="Times New Roman" w:hAnsi="Times New Roman" w:eastAsia="宋体" w:cs="Times New Roman"/>
                <w:b/>
                <w:sz w:val="24"/>
                <w:szCs w:val="20"/>
              </w:rPr>
            </w:pPr>
          </w:p>
        </w:tc>
        <w:tc>
          <w:tcPr>
            <w:tcW w:w="1608" w:type="dxa"/>
          </w:tcPr>
          <w:p w14:paraId="240BBD5C">
            <w:pPr>
              <w:jc w:val="center"/>
              <w:rPr>
                <w:rFonts w:ascii="Times New Roman" w:hAnsi="Times New Roman" w:eastAsia="宋体" w:cs="Times New Roman"/>
                <w:b/>
                <w:sz w:val="24"/>
                <w:szCs w:val="20"/>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6</w:t>
            </w:r>
          </w:p>
        </w:tc>
        <w:tc>
          <w:tcPr>
            <w:tcW w:w="3449" w:type="dxa"/>
          </w:tcPr>
          <w:p w14:paraId="1319CAE3">
            <w:pPr>
              <w:jc w:val="center"/>
              <w:rPr>
                <w:rFonts w:ascii="Times New Roman" w:hAnsi="Times New Roman" w:eastAsia="宋体" w:cs="Times New Roman"/>
                <w:b/>
                <w:sz w:val="24"/>
                <w:szCs w:val="20"/>
              </w:rPr>
            </w:pPr>
          </w:p>
        </w:tc>
        <w:tc>
          <w:tcPr>
            <w:tcW w:w="2414" w:type="dxa"/>
          </w:tcPr>
          <w:p w14:paraId="5F892C72">
            <w:pPr>
              <w:jc w:val="center"/>
              <w:rPr>
                <w:rFonts w:ascii="Times New Roman" w:hAnsi="Times New Roman" w:eastAsia="宋体" w:cs="Times New Roman"/>
                <w:b/>
                <w:sz w:val="24"/>
                <w:szCs w:val="20"/>
              </w:rPr>
            </w:pPr>
          </w:p>
        </w:tc>
        <w:tc>
          <w:tcPr>
            <w:tcW w:w="1608" w:type="dxa"/>
          </w:tcPr>
          <w:p w14:paraId="2C7B0448">
            <w:pPr>
              <w:jc w:val="center"/>
              <w:rPr>
                <w:rFonts w:ascii="Times New Roman" w:hAnsi="Times New Roman" w:eastAsia="宋体" w:cs="Times New Roman"/>
                <w:b/>
                <w:sz w:val="24"/>
                <w:szCs w:val="20"/>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7</w:t>
            </w:r>
          </w:p>
        </w:tc>
        <w:tc>
          <w:tcPr>
            <w:tcW w:w="3449" w:type="dxa"/>
          </w:tcPr>
          <w:p w14:paraId="7C823F97">
            <w:pPr>
              <w:jc w:val="center"/>
              <w:rPr>
                <w:rFonts w:ascii="Times New Roman" w:hAnsi="Times New Roman" w:eastAsia="宋体" w:cs="Times New Roman"/>
                <w:b/>
                <w:sz w:val="24"/>
                <w:szCs w:val="20"/>
              </w:rPr>
            </w:pPr>
          </w:p>
        </w:tc>
        <w:tc>
          <w:tcPr>
            <w:tcW w:w="2414" w:type="dxa"/>
          </w:tcPr>
          <w:p w14:paraId="2BCE8303">
            <w:pPr>
              <w:jc w:val="center"/>
              <w:rPr>
                <w:rFonts w:ascii="Times New Roman" w:hAnsi="Times New Roman" w:eastAsia="宋体" w:cs="Times New Roman"/>
                <w:b/>
                <w:sz w:val="24"/>
                <w:szCs w:val="20"/>
              </w:rPr>
            </w:pPr>
          </w:p>
        </w:tc>
        <w:tc>
          <w:tcPr>
            <w:tcW w:w="1608" w:type="dxa"/>
          </w:tcPr>
          <w:p w14:paraId="2C84C702">
            <w:pPr>
              <w:jc w:val="center"/>
              <w:rPr>
                <w:rFonts w:ascii="Times New Roman" w:hAnsi="Times New Roman" w:eastAsia="宋体" w:cs="Times New Roman"/>
                <w:b/>
                <w:sz w:val="24"/>
                <w:szCs w:val="20"/>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8</w:t>
            </w:r>
          </w:p>
        </w:tc>
        <w:tc>
          <w:tcPr>
            <w:tcW w:w="3449" w:type="dxa"/>
          </w:tcPr>
          <w:p w14:paraId="12F0B10F">
            <w:pPr>
              <w:jc w:val="center"/>
              <w:rPr>
                <w:rFonts w:ascii="Times New Roman" w:hAnsi="Times New Roman" w:eastAsia="宋体" w:cs="Times New Roman"/>
                <w:b/>
                <w:sz w:val="24"/>
                <w:szCs w:val="20"/>
              </w:rPr>
            </w:pPr>
          </w:p>
        </w:tc>
        <w:tc>
          <w:tcPr>
            <w:tcW w:w="2414" w:type="dxa"/>
          </w:tcPr>
          <w:p w14:paraId="36C54971">
            <w:pPr>
              <w:jc w:val="center"/>
              <w:rPr>
                <w:rFonts w:ascii="Times New Roman" w:hAnsi="Times New Roman" w:eastAsia="宋体" w:cs="Times New Roman"/>
                <w:b/>
                <w:sz w:val="24"/>
                <w:szCs w:val="20"/>
              </w:rPr>
            </w:pPr>
          </w:p>
        </w:tc>
        <w:tc>
          <w:tcPr>
            <w:tcW w:w="1608" w:type="dxa"/>
          </w:tcPr>
          <w:p w14:paraId="499F4858">
            <w:pPr>
              <w:jc w:val="center"/>
              <w:rPr>
                <w:rFonts w:ascii="Times New Roman" w:hAnsi="Times New Roman" w:eastAsia="宋体" w:cs="Times New Roman"/>
                <w:b/>
                <w:sz w:val="24"/>
                <w:szCs w:val="20"/>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9</w:t>
            </w:r>
          </w:p>
        </w:tc>
        <w:tc>
          <w:tcPr>
            <w:tcW w:w="3449" w:type="dxa"/>
          </w:tcPr>
          <w:p w14:paraId="2A00B220">
            <w:pPr>
              <w:jc w:val="center"/>
              <w:rPr>
                <w:rFonts w:ascii="Times New Roman" w:hAnsi="Times New Roman" w:eastAsia="宋体" w:cs="Times New Roman"/>
                <w:b/>
                <w:sz w:val="24"/>
                <w:szCs w:val="20"/>
              </w:rPr>
            </w:pPr>
          </w:p>
        </w:tc>
        <w:tc>
          <w:tcPr>
            <w:tcW w:w="2414" w:type="dxa"/>
          </w:tcPr>
          <w:p w14:paraId="77BE407A">
            <w:pPr>
              <w:jc w:val="center"/>
              <w:rPr>
                <w:rFonts w:ascii="Times New Roman" w:hAnsi="Times New Roman" w:eastAsia="宋体" w:cs="Times New Roman"/>
                <w:b/>
                <w:sz w:val="24"/>
                <w:szCs w:val="20"/>
              </w:rPr>
            </w:pPr>
          </w:p>
        </w:tc>
        <w:tc>
          <w:tcPr>
            <w:tcW w:w="1608" w:type="dxa"/>
          </w:tcPr>
          <w:p w14:paraId="58BC73C4">
            <w:pPr>
              <w:jc w:val="center"/>
              <w:rPr>
                <w:rFonts w:ascii="Times New Roman" w:hAnsi="Times New Roman" w:eastAsia="宋体" w:cs="Times New Roman"/>
                <w:b/>
                <w:sz w:val="24"/>
                <w:szCs w:val="20"/>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hint="default"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10</w:t>
            </w:r>
          </w:p>
        </w:tc>
        <w:tc>
          <w:tcPr>
            <w:tcW w:w="3449" w:type="dxa"/>
          </w:tcPr>
          <w:p w14:paraId="75F0A1D4">
            <w:pPr>
              <w:jc w:val="center"/>
              <w:rPr>
                <w:rFonts w:ascii="Times New Roman" w:hAnsi="Times New Roman" w:eastAsia="宋体" w:cs="Times New Roman"/>
                <w:b/>
                <w:sz w:val="24"/>
                <w:szCs w:val="20"/>
              </w:rPr>
            </w:pPr>
          </w:p>
        </w:tc>
        <w:tc>
          <w:tcPr>
            <w:tcW w:w="2414" w:type="dxa"/>
          </w:tcPr>
          <w:p w14:paraId="2B7D454B">
            <w:pPr>
              <w:jc w:val="center"/>
              <w:rPr>
                <w:rFonts w:ascii="Times New Roman" w:hAnsi="Times New Roman" w:eastAsia="宋体" w:cs="Times New Roman"/>
                <w:b/>
                <w:sz w:val="24"/>
                <w:szCs w:val="20"/>
              </w:rPr>
            </w:pPr>
          </w:p>
        </w:tc>
        <w:tc>
          <w:tcPr>
            <w:tcW w:w="1608" w:type="dxa"/>
          </w:tcPr>
          <w:p w14:paraId="7FD80AB6">
            <w:pPr>
              <w:jc w:val="center"/>
              <w:rPr>
                <w:rFonts w:ascii="Times New Roman" w:hAnsi="Times New Roman" w:eastAsia="宋体" w:cs="Times New Roman"/>
                <w:b/>
                <w:sz w:val="24"/>
                <w:szCs w:val="20"/>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rPr>
            </w:pPr>
          </w:p>
        </w:tc>
        <w:tc>
          <w:tcPr>
            <w:tcW w:w="3449" w:type="dxa"/>
          </w:tcPr>
          <w:p w14:paraId="3A04244A">
            <w:pPr>
              <w:jc w:val="center"/>
              <w:rPr>
                <w:rFonts w:ascii="Times New Roman" w:hAnsi="Times New Roman" w:eastAsia="宋体" w:cs="Times New Roman"/>
                <w:b/>
                <w:sz w:val="24"/>
                <w:szCs w:val="20"/>
              </w:rPr>
            </w:pPr>
          </w:p>
        </w:tc>
        <w:tc>
          <w:tcPr>
            <w:tcW w:w="2414" w:type="dxa"/>
          </w:tcPr>
          <w:p w14:paraId="4BF0EDCB">
            <w:pPr>
              <w:jc w:val="center"/>
              <w:rPr>
                <w:rFonts w:ascii="Times New Roman" w:hAnsi="Times New Roman" w:eastAsia="宋体" w:cs="Times New Roman"/>
                <w:b/>
                <w:sz w:val="24"/>
                <w:szCs w:val="20"/>
              </w:rPr>
            </w:pPr>
          </w:p>
        </w:tc>
        <w:tc>
          <w:tcPr>
            <w:tcW w:w="1608" w:type="dxa"/>
          </w:tcPr>
          <w:p w14:paraId="74DF6673">
            <w:pPr>
              <w:jc w:val="center"/>
              <w:rPr>
                <w:rFonts w:ascii="Times New Roman" w:hAnsi="Times New Roman" w:eastAsia="宋体" w:cs="Times New Roman"/>
                <w:b/>
                <w:sz w:val="24"/>
                <w:szCs w:val="20"/>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rPr>
            </w:pPr>
          </w:p>
        </w:tc>
        <w:tc>
          <w:tcPr>
            <w:tcW w:w="3449" w:type="dxa"/>
          </w:tcPr>
          <w:p w14:paraId="786109B0">
            <w:pPr>
              <w:jc w:val="center"/>
              <w:rPr>
                <w:rFonts w:ascii="Times New Roman" w:hAnsi="Times New Roman" w:eastAsia="宋体" w:cs="Times New Roman"/>
                <w:b/>
                <w:sz w:val="24"/>
                <w:szCs w:val="20"/>
              </w:rPr>
            </w:pPr>
          </w:p>
        </w:tc>
        <w:tc>
          <w:tcPr>
            <w:tcW w:w="2414" w:type="dxa"/>
          </w:tcPr>
          <w:p w14:paraId="3DBDA0CB">
            <w:pPr>
              <w:jc w:val="center"/>
              <w:rPr>
                <w:rFonts w:ascii="Times New Roman" w:hAnsi="Times New Roman" w:eastAsia="宋体" w:cs="Times New Roman"/>
                <w:b/>
                <w:sz w:val="24"/>
                <w:szCs w:val="20"/>
              </w:rPr>
            </w:pPr>
          </w:p>
        </w:tc>
        <w:tc>
          <w:tcPr>
            <w:tcW w:w="1608" w:type="dxa"/>
          </w:tcPr>
          <w:p w14:paraId="2ECE6F54">
            <w:pPr>
              <w:jc w:val="center"/>
              <w:rPr>
                <w:rFonts w:ascii="Times New Roman" w:hAnsi="Times New Roman" w:eastAsia="宋体" w:cs="Times New Roman"/>
                <w:b/>
                <w:sz w:val="24"/>
                <w:szCs w:val="20"/>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rPr>
            </w:pPr>
          </w:p>
        </w:tc>
        <w:tc>
          <w:tcPr>
            <w:tcW w:w="3449" w:type="dxa"/>
          </w:tcPr>
          <w:p w14:paraId="6EF521E3">
            <w:pPr>
              <w:jc w:val="center"/>
              <w:rPr>
                <w:rFonts w:ascii="Times New Roman" w:hAnsi="Times New Roman" w:eastAsia="宋体" w:cs="Times New Roman"/>
                <w:b/>
                <w:sz w:val="24"/>
                <w:szCs w:val="20"/>
              </w:rPr>
            </w:pPr>
          </w:p>
        </w:tc>
        <w:tc>
          <w:tcPr>
            <w:tcW w:w="2414" w:type="dxa"/>
          </w:tcPr>
          <w:p w14:paraId="4D21F621">
            <w:pPr>
              <w:jc w:val="center"/>
              <w:rPr>
                <w:rFonts w:ascii="Times New Roman" w:hAnsi="Times New Roman" w:eastAsia="宋体" w:cs="Times New Roman"/>
                <w:b/>
                <w:sz w:val="24"/>
                <w:szCs w:val="20"/>
              </w:rPr>
            </w:pPr>
          </w:p>
        </w:tc>
        <w:tc>
          <w:tcPr>
            <w:tcW w:w="1608" w:type="dxa"/>
          </w:tcPr>
          <w:p w14:paraId="2AEC22C9">
            <w:pPr>
              <w:jc w:val="center"/>
              <w:rPr>
                <w:rFonts w:ascii="Times New Roman" w:hAnsi="Times New Roman" w:eastAsia="宋体" w:cs="Times New Roman"/>
                <w:b/>
                <w:sz w:val="24"/>
                <w:szCs w:val="20"/>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rPr>
            </w:pPr>
          </w:p>
        </w:tc>
        <w:tc>
          <w:tcPr>
            <w:tcW w:w="3449" w:type="dxa"/>
          </w:tcPr>
          <w:p w14:paraId="612E39AE">
            <w:pPr>
              <w:jc w:val="center"/>
              <w:rPr>
                <w:rFonts w:ascii="Times New Roman" w:hAnsi="Times New Roman" w:eastAsia="宋体" w:cs="Times New Roman"/>
                <w:b/>
                <w:sz w:val="24"/>
                <w:szCs w:val="20"/>
              </w:rPr>
            </w:pPr>
          </w:p>
        </w:tc>
        <w:tc>
          <w:tcPr>
            <w:tcW w:w="2414" w:type="dxa"/>
          </w:tcPr>
          <w:p w14:paraId="4567AC17">
            <w:pPr>
              <w:jc w:val="center"/>
              <w:rPr>
                <w:rFonts w:ascii="Times New Roman" w:hAnsi="Times New Roman" w:eastAsia="宋体" w:cs="Times New Roman"/>
                <w:b/>
                <w:sz w:val="24"/>
                <w:szCs w:val="20"/>
              </w:rPr>
            </w:pPr>
          </w:p>
        </w:tc>
        <w:tc>
          <w:tcPr>
            <w:tcW w:w="1608" w:type="dxa"/>
          </w:tcPr>
          <w:p w14:paraId="3541CD11">
            <w:pPr>
              <w:jc w:val="center"/>
              <w:rPr>
                <w:rFonts w:ascii="Times New Roman" w:hAnsi="Times New Roman" w:eastAsia="宋体" w:cs="Times New Roman"/>
                <w:b/>
                <w:sz w:val="24"/>
                <w:szCs w:val="20"/>
              </w:rPr>
            </w:pPr>
          </w:p>
        </w:tc>
      </w:tr>
    </w:tbl>
    <w:p w14:paraId="0E76890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47391C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0AB8C82">
      <w:pPr>
        <w:rPr>
          <w:rFonts w:ascii="宋体" w:hAnsi="Calibri" w:eastAsia="宋体" w:cs="宋体"/>
          <w:b/>
          <w:bCs/>
          <w:color w:val="000000"/>
          <w:sz w:val="28"/>
          <w:szCs w:val="20"/>
        </w:rPr>
      </w:pPr>
    </w:p>
    <w:p w14:paraId="4E833C1C">
      <w:pPr>
        <w:rPr>
          <w:rFonts w:hint="eastAsia" w:ascii="Times New Roman" w:hAnsi="Times New Roman" w:eastAsia="宋体" w:cs="Times New Roman"/>
          <w:b/>
          <w:bCs/>
          <w:color w:val="000000"/>
          <w:sz w:val="24"/>
          <w:szCs w:val="24"/>
        </w:rPr>
        <w:sectPr>
          <w:footerReference r:id="rId12" w:type="default"/>
          <w:pgSz w:w="11907" w:h="16841"/>
          <w:pgMar w:top="1587" w:right="1168" w:bottom="1134" w:left="1417" w:header="0" w:footer="990" w:gutter="0"/>
          <w:cols w:equalWidth="0" w:num="1">
            <w:col w:w="13980"/>
          </w:cols>
        </w:sectPr>
      </w:pPr>
    </w:p>
    <w:p w14:paraId="313ACAB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14:paraId="6E2E2542">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14:paraId="143365F1">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5"/>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14:paraId="1E7E4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36" w:hRule="atLeast"/>
        </w:trPr>
        <w:tc>
          <w:tcPr>
            <w:tcW w:w="672" w:type="dxa"/>
          </w:tcPr>
          <w:p w14:paraId="5469B2F6">
            <w:pPr>
              <w:spacing w:before="97" w:line="186" w:lineRule="auto"/>
              <w:ind w:left="304"/>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238" w:type="dxa"/>
          </w:tcPr>
          <w:p w14:paraId="3078309E">
            <w:pPr>
              <w:spacing w:before="98" w:line="185" w:lineRule="auto"/>
              <w:ind w:left="10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239" w:type="dxa"/>
          </w:tcPr>
          <w:p w14:paraId="12197885">
            <w:pPr>
              <w:spacing w:before="99" w:line="183"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335" w:type="dxa"/>
          </w:tcPr>
          <w:p w14:paraId="2240BF42">
            <w:pPr>
              <w:spacing w:before="98" w:line="185" w:lineRule="auto"/>
              <w:ind w:left="51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824" w:type="dxa"/>
          </w:tcPr>
          <w:p w14:paraId="076A293C">
            <w:pPr>
              <w:spacing w:before="100" w:line="182" w:lineRule="auto"/>
              <w:ind w:left="798"/>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54D64E83">
            <w:pPr>
              <w:spacing w:before="100" w:line="182" w:lineRule="auto"/>
              <w:ind w:left="1007"/>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355" w:type="dxa"/>
          </w:tcPr>
          <w:p w14:paraId="2FBA34D7">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r>
      <w:tr w14:paraId="2769F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5B9A1868">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2238" w:type="dxa"/>
            <w:vAlign w:val="center"/>
          </w:tcPr>
          <w:p w14:paraId="2F8F6BC9">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货物名称</w:t>
            </w:r>
          </w:p>
        </w:tc>
        <w:tc>
          <w:tcPr>
            <w:tcW w:w="2239" w:type="dxa"/>
            <w:vAlign w:val="center"/>
          </w:tcPr>
          <w:p w14:paraId="181DE3FA">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335" w:type="dxa"/>
            <w:vAlign w:val="center"/>
          </w:tcPr>
          <w:p w14:paraId="5AFA8FD5">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单位</w:t>
            </w:r>
          </w:p>
        </w:tc>
        <w:tc>
          <w:tcPr>
            <w:tcW w:w="1824" w:type="dxa"/>
            <w:vAlign w:val="center"/>
          </w:tcPr>
          <w:p w14:paraId="031D32BB">
            <w:pPr>
              <w:spacing w:before="0" w:line="221" w:lineRule="auto"/>
              <w:ind w:left="0" w:right="0" w:firstLine="0"/>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362" w:type="dxa"/>
            <w:tcBorders>
              <w:left w:val="single" w:color="000000" w:sz="4" w:space="0"/>
            </w:tcBorders>
            <w:vAlign w:val="center"/>
          </w:tcPr>
          <w:p w14:paraId="34A3CA49">
            <w:pPr>
              <w:spacing w:before="0" w:line="221" w:lineRule="auto"/>
              <w:ind w:left="0" w:leftChars="0"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355" w:type="dxa"/>
            <w:vAlign w:val="center"/>
          </w:tcPr>
          <w:p w14:paraId="6A20E931">
            <w:pPr>
              <w:spacing w:before="0" w:line="221" w:lineRule="auto"/>
              <w:ind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  注</w:t>
            </w:r>
          </w:p>
        </w:tc>
      </w:tr>
      <w:tr w14:paraId="487BB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03B0EAE">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1</w:t>
            </w:r>
          </w:p>
        </w:tc>
        <w:tc>
          <w:tcPr>
            <w:tcW w:w="2238" w:type="dxa"/>
            <w:vAlign w:val="center"/>
          </w:tcPr>
          <w:p w14:paraId="03146F1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35B43372">
            <w:pPr>
              <w:rPr>
                <w:rFonts w:ascii="Arial"/>
                <w:highlight w:val="none"/>
              </w:rPr>
            </w:pPr>
          </w:p>
        </w:tc>
        <w:tc>
          <w:tcPr>
            <w:tcW w:w="1335" w:type="dxa"/>
            <w:vAlign w:val="center"/>
          </w:tcPr>
          <w:p w14:paraId="1F70849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05B2C110">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1619C97E">
            <w:pPr>
              <w:rPr>
                <w:rFonts w:ascii="Arial"/>
                <w:highlight w:val="none"/>
              </w:rPr>
            </w:pPr>
          </w:p>
        </w:tc>
        <w:tc>
          <w:tcPr>
            <w:tcW w:w="1355" w:type="dxa"/>
          </w:tcPr>
          <w:p w14:paraId="2C91C3A9">
            <w:pPr>
              <w:rPr>
                <w:rFonts w:ascii="Arial"/>
                <w:highlight w:val="none"/>
              </w:rPr>
            </w:pPr>
          </w:p>
        </w:tc>
      </w:tr>
      <w:tr w14:paraId="615A1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B14CBBC">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2</w:t>
            </w:r>
          </w:p>
        </w:tc>
        <w:tc>
          <w:tcPr>
            <w:tcW w:w="2238" w:type="dxa"/>
            <w:vAlign w:val="center"/>
          </w:tcPr>
          <w:p w14:paraId="3502F91F">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DEC17E2">
            <w:pPr>
              <w:rPr>
                <w:rFonts w:ascii="Arial"/>
                <w:highlight w:val="none"/>
              </w:rPr>
            </w:pPr>
          </w:p>
        </w:tc>
        <w:tc>
          <w:tcPr>
            <w:tcW w:w="1335" w:type="dxa"/>
            <w:vAlign w:val="center"/>
          </w:tcPr>
          <w:p w14:paraId="4564E77D">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7DEA513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4F6BF2BC">
            <w:pPr>
              <w:rPr>
                <w:rFonts w:ascii="Arial"/>
                <w:highlight w:val="none"/>
              </w:rPr>
            </w:pPr>
          </w:p>
        </w:tc>
        <w:tc>
          <w:tcPr>
            <w:tcW w:w="1355" w:type="dxa"/>
          </w:tcPr>
          <w:p w14:paraId="57834D10">
            <w:pPr>
              <w:rPr>
                <w:rFonts w:ascii="Arial"/>
                <w:highlight w:val="none"/>
              </w:rPr>
            </w:pPr>
          </w:p>
        </w:tc>
      </w:tr>
      <w:tr w14:paraId="4BB98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4492693">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3</w:t>
            </w:r>
          </w:p>
        </w:tc>
        <w:tc>
          <w:tcPr>
            <w:tcW w:w="2238" w:type="dxa"/>
            <w:vAlign w:val="center"/>
          </w:tcPr>
          <w:p w14:paraId="529C4FB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2AC09AC1">
            <w:pPr>
              <w:rPr>
                <w:rFonts w:ascii="Arial"/>
                <w:highlight w:val="none"/>
              </w:rPr>
            </w:pPr>
          </w:p>
        </w:tc>
        <w:tc>
          <w:tcPr>
            <w:tcW w:w="1335" w:type="dxa"/>
            <w:vAlign w:val="center"/>
          </w:tcPr>
          <w:p w14:paraId="6DCDD81E">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6B34E1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066FDDA">
            <w:pPr>
              <w:rPr>
                <w:rFonts w:ascii="Arial"/>
                <w:highlight w:val="none"/>
              </w:rPr>
            </w:pPr>
          </w:p>
        </w:tc>
        <w:tc>
          <w:tcPr>
            <w:tcW w:w="1355" w:type="dxa"/>
          </w:tcPr>
          <w:p w14:paraId="3C59607F">
            <w:pPr>
              <w:rPr>
                <w:rFonts w:ascii="Arial"/>
                <w:highlight w:val="none"/>
              </w:rPr>
            </w:pPr>
          </w:p>
        </w:tc>
      </w:tr>
      <w:tr w14:paraId="11997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751D2C2">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4</w:t>
            </w:r>
          </w:p>
        </w:tc>
        <w:tc>
          <w:tcPr>
            <w:tcW w:w="2238" w:type="dxa"/>
            <w:vAlign w:val="center"/>
          </w:tcPr>
          <w:p w14:paraId="7B5774C2">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1B2CC471">
            <w:pPr>
              <w:rPr>
                <w:rFonts w:ascii="Arial"/>
                <w:highlight w:val="none"/>
              </w:rPr>
            </w:pPr>
          </w:p>
        </w:tc>
        <w:tc>
          <w:tcPr>
            <w:tcW w:w="1335" w:type="dxa"/>
            <w:vAlign w:val="center"/>
          </w:tcPr>
          <w:p w14:paraId="11D53E1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7B9CEF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89EA3F7">
            <w:pPr>
              <w:rPr>
                <w:rFonts w:ascii="Arial"/>
                <w:highlight w:val="none"/>
              </w:rPr>
            </w:pPr>
          </w:p>
        </w:tc>
        <w:tc>
          <w:tcPr>
            <w:tcW w:w="1355" w:type="dxa"/>
          </w:tcPr>
          <w:p w14:paraId="686EC229">
            <w:pPr>
              <w:rPr>
                <w:rFonts w:ascii="Arial"/>
                <w:highlight w:val="none"/>
              </w:rPr>
            </w:pPr>
          </w:p>
        </w:tc>
      </w:tr>
      <w:tr w14:paraId="30DA4F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90EFD09">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5</w:t>
            </w:r>
          </w:p>
        </w:tc>
        <w:tc>
          <w:tcPr>
            <w:tcW w:w="2238" w:type="dxa"/>
            <w:vAlign w:val="center"/>
          </w:tcPr>
          <w:p w14:paraId="4422205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5C853C66">
            <w:pPr>
              <w:rPr>
                <w:rFonts w:ascii="Arial"/>
                <w:highlight w:val="none"/>
              </w:rPr>
            </w:pPr>
          </w:p>
        </w:tc>
        <w:tc>
          <w:tcPr>
            <w:tcW w:w="1335" w:type="dxa"/>
            <w:vAlign w:val="center"/>
          </w:tcPr>
          <w:p w14:paraId="6E732035">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E042B2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67DACAC5">
            <w:pPr>
              <w:rPr>
                <w:rFonts w:ascii="Arial"/>
                <w:highlight w:val="none"/>
              </w:rPr>
            </w:pPr>
          </w:p>
        </w:tc>
        <w:tc>
          <w:tcPr>
            <w:tcW w:w="1355" w:type="dxa"/>
          </w:tcPr>
          <w:p w14:paraId="05257B4C">
            <w:pPr>
              <w:rPr>
                <w:rFonts w:ascii="Arial"/>
                <w:highlight w:val="none"/>
              </w:rPr>
            </w:pPr>
          </w:p>
        </w:tc>
      </w:tr>
      <w:tr w14:paraId="3F71DE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vAlign w:val="center"/>
          </w:tcPr>
          <w:p w14:paraId="6111C896">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6</w:t>
            </w:r>
          </w:p>
        </w:tc>
        <w:tc>
          <w:tcPr>
            <w:tcW w:w="2238" w:type="dxa"/>
            <w:vAlign w:val="center"/>
          </w:tcPr>
          <w:p w14:paraId="3E496F2B">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6056099">
            <w:pPr>
              <w:rPr>
                <w:rFonts w:ascii="Arial"/>
                <w:highlight w:val="none"/>
              </w:rPr>
            </w:pPr>
          </w:p>
        </w:tc>
        <w:tc>
          <w:tcPr>
            <w:tcW w:w="1335" w:type="dxa"/>
            <w:vAlign w:val="center"/>
          </w:tcPr>
          <w:p w14:paraId="6916A5CC">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2B96953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89D078B">
            <w:pPr>
              <w:rPr>
                <w:rFonts w:ascii="Arial"/>
                <w:highlight w:val="none"/>
              </w:rPr>
            </w:pPr>
          </w:p>
        </w:tc>
        <w:tc>
          <w:tcPr>
            <w:tcW w:w="1355" w:type="dxa"/>
          </w:tcPr>
          <w:p w14:paraId="362298FF">
            <w:pPr>
              <w:rPr>
                <w:rFonts w:ascii="Arial"/>
                <w:highlight w:val="none"/>
              </w:rPr>
            </w:pPr>
          </w:p>
        </w:tc>
      </w:tr>
      <w:tr w14:paraId="37BF9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vAlign w:val="center"/>
          </w:tcPr>
          <w:p w14:paraId="6A9886B8">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7</w:t>
            </w:r>
          </w:p>
        </w:tc>
        <w:tc>
          <w:tcPr>
            <w:tcW w:w="2238" w:type="dxa"/>
            <w:vAlign w:val="center"/>
          </w:tcPr>
          <w:p w14:paraId="38003D0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E382FCC">
            <w:pPr>
              <w:rPr>
                <w:rFonts w:ascii="Arial"/>
                <w:highlight w:val="none"/>
              </w:rPr>
            </w:pPr>
          </w:p>
        </w:tc>
        <w:tc>
          <w:tcPr>
            <w:tcW w:w="1335" w:type="dxa"/>
            <w:vAlign w:val="center"/>
          </w:tcPr>
          <w:p w14:paraId="7BA4056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72F0165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43CA89F9">
            <w:pPr>
              <w:rPr>
                <w:rFonts w:ascii="Arial"/>
                <w:highlight w:val="none"/>
              </w:rPr>
            </w:pPr>
          </w:p>
        </w:tc>
        <w:tc>
          <w:tcPr>
            <w:tcW w:w="1355" w:type="dxa"/>
          </w:tcPr>
          <w:p w14:paraId="06BCBF94">
            <w:pPr>
              <w:rPr>
                <w:rFonts w:ascii="Arial"/>
                <w:highlight w:val="none"/>
              </w:rPr>
            </w:pPr>
          </w:p>
        </w:tc>
      </w:tr>
      <w:tr w14:paraId="045F6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3AA43B3E">
            <w:pPr>
              <w:spacing w:line="360" w:lineRule="exact"/>
              <w:jc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sz w:val="24"/>
                <w:szCs w:val="24"/>
                <w:highlight w:val="none"/>
                <w:lang w:val="en-US" w:eastAsia="zh-CN"/>
              </w:rPr>
              <w:t>8</w:t>
            </w:r>
          </w:p>
        </w:tc>
        <w:tc>
          <w:tcPr>
            <w:tcW w:w="2238" w:type="dxa"/>
            <w:vAlign w:val="center"/>
          </w:tcPr>
          <w:p w14:paraId="5622A58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3236709F">
            <w:pPr>
              <w:rPr>
                <w:rFonts w:ascii="Arial"/>
                <w:highlight w:val="none"/>
              </w:rPr>
            </w:pPr>
          </w:p>
        </w:tc>
        <w:tc>
          <w:tcPr>
            <w:tcW w:w="1335" w:type="dxa"/>
            <w:vAlign w:val="center"/>
          </w:tcPr>
          <w:p w14:paraId="6582BA0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4027D896">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0FA8C6EE">
            <w:pPr>
              <w:rPr>
                <w:rFonts w:ascii="Arial"/>
                <w:highlight w:val="none"/>
              </w:rPr>
            </w:pPr>
          </w:p>
        </w:tc>
        <w:tc>
          <w:tcPr>
            <w:tcW w:w="1355" w:type="dxa"/>
          </w:tcPr>
          <w:p w14:paraId="01F0640E">
            <w:pPr>
              <w:rPr>
                <w:rFonts w:ascii="Arial"/>
                <w:highlight w:val="none"/>
              </w:rPr>
            </w:pPr>
          </w:p>
        </w:tc>
      </w:tr>
      <w:tr w14:paraId="42F00A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00C8731">
            <w:pPr>
              <w:spacing w:line="360" w:lineRule="exact"/>
              <w:jc w:val="center"/>
              <w:rPr>
                <w:rFonts w:hint="eastAsia" w:ascii="宋体" w:hAnsi="宋体" w:eastAsia="宋体" w:cs="宋体"/>
                <w:sz w:val="24"/>
                <w:szCs w:val="24"/>
                <w:highlight w:val="none"/>
                <w:lang w:val="en-US" w:eastAsia="zh-CN"/>
              </w:rPr>
            </w:pPr>
          </w:p>
        </w:tc>
        <w:tc>
          <w:tcPr>
            <w:tcW w:w="2238" w:type="dxa"/>
            <w:vAlign w:val="center"/>
          </w:tcPr>
          <w:p w14:paraId="7D31C4C0">
            <w:pPr>
              <w:spacing w:line="360" w:lineRule="auto"/>
              <w:ind w:firstLine="0" w:firstLineChars="0"/>
              <w:jc w:val="center"/>
              <w:rPr>
                <w:rFonts w:hint="eastAsia" w:ascii="宋体" w:hAnsi="宋体" w:eastAsia="宋体" w:cs="宋体"/>
                <w:color w:val="auto"/>
                <w:sz w:val="24"/>
                <w:szCs w:val="24"/>
                <w:highlight w:val="none"/>
              </w:rPr>
            </w:pPr>
          </w:p>
        </w:tc>
        <w:tc>
          <w:tcPr>
            <w:tcW w:w="2239" w:type="dxa"/>
          </w:tcPr>
          <w:p w14:paraId="7FDC8238">
            <w:pPr>
              <w:rPr>
                <w:rFonts w:ascii="Arial"/>
                <w:highlight w:val="none"/>
              </w:rPr>
            </w:pPr>
          </w:p>
        </w:tc>
        <w:tc>
          <w:tcPr>
            <w:tcW w:w="1335" w:type="dxa"/>
            <w:vAlign w:val="center"/>
          </w:tcPr>
          <w:p w14:paraId="1D5F110F">
            <w:pPr>
              <w:spacing w:line="360" w:lineRule="auto"/>
              <w:ind w:firstLine="0" w:firstLineChars="0"/>
              <w:jc w:val="center"/>
              <w:rPr>
                <w:rFonts w:hint="eastAsia" w:ascii="宋体" w:hAnsi="宋体" w:eastAsia="宋体" w:cs="宋体"/>
                <w:color w:val="auto"/>
                <w:sz w:val="24"/>
                <w:szCs w:val="24"/>
                <w:highlight w:val="none"/>
              </w:rPr>
            </w:pPr>
          </w:p>
        </w:tc>
        <w:tc>
          <w:tcPr>
            <w:tcW w:w="1824" w:type="dxa"/>
            <w:vAlign w:val="center"/>
          </w:tcPr>
          <w:p w14:paraId="60AC28DB">
            <w:pPr>
              <w:spacing w:line="360" w:lineRule="auto"/>
              <w:ind w:firstLine="0" w:firstLineChars="0"/>
              <w:jc w:val="center"/>
              <w:rPr>
                <w:rFonts w:hint="eastAsia" w:ascii="宋体" w:hAnsi="宋体" w:eastAsia="宋体" w:cs="宋体"/>
                <w:color w:val="auto"/>
                <w:sz w:val="24"/>
                <w:szCs w:val="24"/>
                <w:highlight w:val="none"/>
                <w:lang w:val="en-US" w:eastAsia="zh-CN"/>
              </w:rPr>
            </w:pPr>
          </w:p>
        </w:tc>
        <w:tc>
          <w:tcPr>
            <w:tcW w:w="2362" w:type="dxa"/>
            <w:tcBorders>
              <w:left w:val="single" w:color="000000" w:sz="4" w:space="0"/>
            </w:tcBorders>
          </w:tcPr>
          <w:p w14:paraId="25464965">
            <w:pPr>
              <w:rPr>
                <w:rFonts w:ascii="Arial"/>
                <w:highlight w:val="none"/>
              </w:rPr>
            </w:pPr>
          </w:p>
        </w:tc>
        <w:tc>
          <w:tcPr>
            <w:tcW w:w="1355" w:type="dxa"/>
          </w:tcPr>
          <w:p w14:paraId="40B272DB">
            <w:pPr>
              <w:rPr>
                <w:rFonts w:ascii="Arial"/>
                <w:highlight w:val="none"/>
              </w:rPr>
            </w:pPr>
          </w:p>
        </w:tc>
      </w:tr>
      <w:tr w14:paraId="68B64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14:paraId="58949CE2">
            <w:pPr>
              <w:spacing w:before="79" w:line="284" w:lineRule="exact"/>
              <w:ind w:left="249"/>
              <w:rPr>
                <w:rFonts w:ascii="宋体" w:hAnsi="宋体" w:eastAsia="宋体" w:cs="宋体"/>
                <w:szCs w:val="21"/>
                <w:highlight w:val="none"/>
              </w:rPr>
            </w:pPr>
            <w:r>
              <w:rPr>
                <w:rFonts w:ascii="宋体" w:hAnsi="宋体" w:eastAsia="宋体" w:cs="宋体"/>
                <w:position w:val="1"/>
                <w:szCs w:val="21"/>
                <w:highlight w:val="none"/>
              </w:rPr>
              <w:t>…</w:t>
            </w:r>
          </w:p>
        </w:tc>
        <w:tc>
          <w:tcPr>
            <w:tcW w:w="2238" w:type="dxa"/>
          </w:tcPr>
          <w:p w14:paraId="563E62A3">
            <w:pPr>
              <w:rPr>
                <w:rFonts w:ascii="Arial"/>
                <w:highlight w:val="none"/>
              </w:rPr>
            </w:pPr>
            <w:r>
              <w:rPr>
                <w:rFonts w:hint="eastAsia" w:ascii="宋体" w:hAnsi="宋体" w:eastAsia="宋体" w:cs="宋体"/>
                <w:highlight w:val="none"/>
              </w:rPr>
              <w:t>以上投标设备不足之处请往下添加序号自行补充</w:t>
            </w:r>
          </w:p>
        </w:tc>
        <w:tc>
          <w:tcPr>
            <w:tcW w:w="2239" w:type="dxa"/>
          </w:tcPr>
          <w:p w14:paraId="429FAD1B">
            <w:pPr>
              <w:rPr>
                <w:rFonts w:ascii="Arial"/>
                <w:highlight w:val="none"/>
              </w:rPr>
            </w:pPr>
          </w:p>
        </w:tc>
        <w:tc>
          <w:tcPr>
            <w:tcW w:w="1335" w:type="dxa"/>
          </w:tcPr>
          <w:p w14:paraId="02DF32E9">
            <w:pPr>
              <w:rPr>
                <w:rFonts w:ascii="Arial"/>
                <w:highlight w:val="none"/>
              </w:rPr>
            </w:pPr>
          </w:p>
        </w:tc>
        <w:tc>
          <w:tcPr>
            <w:tcW w:w="1824" w:type="dxa"/>
          </w:tcPr>
          <w:p w14:paraId="2110148A">
            <w:pPr>
              <w:rPr>
                <w:rFonts w:ascii="Arial"/>
                <w:highlight w:val="none"/>
              </w:rPr>
            </w:pPr>
          </w:p>
        </w:tc>
        <w:tc>
          <w:tcPr>
            <w:tcW w:w="2362" w:type="dxa"/>
            <w:tcBorders>
              <w:left w:val="single" w:color="000000" w:sz="4" w:space="0"/>
            </w:tcBorders>
          </w:tcPr>
          <w:p w14:paraId="062D8F9E">
            <w:pPr>
              <w:rPr>
                <w:rFonts w:ascii="Arial"/>
                <w:highlight w:val="none"/>
              </w:rPr>
            </w:pPr>
          </w:p>
        </w:tc>
        <w:tc>
          <w:tcPr>
            <w:tcW w:w="1355" w:type="dxa"/>
          </w:tcPr>
          <w:p w14:paraId="3494BA50">
            <w:pPr>
              <w:rPr>
                <w:rFonts w:ascii="Arial"/>
                <w:highlight w:val="none"/>
              </w:rPr>
            </w:pPr>
          </w:p>
        </w:tc>
      </w:tr>
    </w:tbl>
    <w:p w14:paraId="394E28E9">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3181B9F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3677B0D5">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7C15BBDB">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2E73CABF">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4.因填写不规范造成废标及终止招标的，责任由投标人自负。</w:t>
      </w:r>
    </w:p>
    <w:p w14:paraId="4FF92C35">
      <w:pPr>
        <w:sectPr>
          <w:pgSz w:w="16841" w:h="11907" w:orient="landscape"/>
          <w:pgMar w:top="400" w:right="1387" w:bottom="1168" w:left="1473" w:header="0" w:footer="990" w:gutter="0"/>
          <w:cols w:equalWidth="0" w:num="1">
            <w:col w:w="13980"/>
          </w:cols>
        </w:sectPr>
      </w:pPr>
    </w:p>
    <w:p w14:paraId="422E3A4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0280B1B">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566705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6E73C1">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665C8D05">
      <w:pPr>
        <w:rPr>
          <w:rFonts w:hint="eastAsia" w:ascii="Times New Roman" w:hAnsi="Times New Roman" w:eastAsia="宋体" w:cs="Times New Roman"/>
          <w:b/>
          <w:bCs/>
          <w:color w:val="000000"/>
          <w:sz w:val="24"/>
          <w:szCs w:val="24"/>
        </w:rPr>
      </w:pPr>
    </w:p>
    <w:p w14:paraId="747E19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r>
        <w:rPr>
          <w:rFonts w:ascii="宋体" w:hAnsi="宋体" w:eastAsia="宋体" w:cs="Times New Roman"/>
          <w:color w:val="000000"/>
          <w:sz w:val="24"/>
          <w:szCs w:val="24"/>
        </w:rPr>
        <w:t xml:space="preserve">      </w:t>
      </w:r>
    </w:p>
    <w:tbl>
      <w:tblPr>
        <w:tblStyle w:val="38"/>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72E65017">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项目名称</w:t>
            </w:r>
          </w:p>
          <w:p w14:paraId="67C283A0">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联系人及</w:t>
            </w:r>
          </w:p>
          <w:p w14:paraId="7657C40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44B3589">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3C0E09DE">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b/>
          <w:color w:val="000000"/>
          <w:sz w:val="24"/>
          <w:szCs w:val="24"/>
          <w:u w:val="single"/>
        </w:rPr>
        <w:t xml:space="preserve">            </w:t>
      </w:r>
    </w:p>
    <w:p w14:paraId="019D66F0">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E82BE2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77CA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84294DB">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r>
        <w:rPr>
          <w:rFonts w:ascii="宋体" w:hAnsi="宋体" w:eastAsia="宋体" w:cs="Times New Roman"/>
          <w:color w:val="000000"/>
          <w:sz w:val="24"/>
          <w:szCs w:val="24"/>
        </w:rPr>
        <w:t xml:space="preserve"> </w:t>
      </w:r>
    </w:p>
    <w:tbl>
      <w:tblPr>
        <w:tblStyle w:val="38"/>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449"/>
        <w:gridCol w:w="1042"/>
        <w:gridCol w:w="1398"/>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46"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7"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77"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449"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42"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98"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7" w:type="dxa"/>
            <w:vAlign w:val="center"/>
          </w:tcPr>
          <w:p w14:paraId="26AEA32C">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777" w:type="dxa"/>
            <w:vAlign w:val="center"/>
          </w:tcPr>
          <w:p w14:paraId="14B6972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449"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42" w:type="dxa"/>
            <w:vAlign w:val="center"/>
          </w:tcPr>
          <w:p w14:paraId="36FA7CE1">
            <w:pPr>
              <w:jc w:val="center"/>
              <w:rPr>
                <w:rFonts w:ascii="Times New Roman" w:hAnsi="Times New Roman" w:eastAsia="宋体" w:cs="Times New Roman"/>
                <w:b/>
                <w:szCs w:val="20"/>
              </w:rPr>
            </w:pPr>
          </w:p>
        </w:tc>
        <w:tc>
          <w:tcPr>
            <w:tcW w:w="1398"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szCs w:val="21"/>
        </w:rPr>
      </w:pPr>
      <w:r>
        <w:rPr>
          <w:rFonts w:hint="eastAsia" w:ascii="宋体" w:hAnsi="宋体" w:eastAsia="宋体" w:cs="Times New Roman"/>
          <w:b/>
          <w:bCs/>
          <w:szCs w:val="21"/>
        </w:rPr>
        <w:t>注：</w:t>
      </w:r>
    </w:p>
    <w:p w14:paraId="29C32E3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1.此表中的报价必须与相应的报价明细表中的报价一致。</w:t>
      </w:r>
    </w:p>
    <w:p w14:paraId="70278D2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2.此表在投递标书时请单独密封两份，否则不予唱标。</w:t>
      </w:r>
    </w:p>
    <w:p w14:paraId="05F3944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3.需写明含税价、不含税价格、税率。</w:t>
      </w:r>
    </w:p>
    <w:p w14:paraId="484D92EC">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14:paraId="164498C5">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5</w:t>
      </w: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17"/>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77ADA">
      <w:pPr>
        <w:ind w:firstLine="480"/>
        <w:rPr>
          <w:rFonts w:ascii="宋体" w:hAnsi="Calibri" w:eastAsia="宋体" w:cs="Times New Roman"/>
          <w:color w:val="000000"/>
          <w:sz w:val="24"/>
          <w:szCs w:val="24"/>
        </w:rPr>
      </w:pPr>
    </w:p>
    <w:p w14:paraId="2DE0CEA5">
      <w:pPr>
        <w:pStyle w:val="17"/>
        <w:sectPr>
          <w:pgSz w:w="11906" w:h="16838"/>
          <w:pgMar w:top="1588" w:right="1418" w:bottom="1134" w:left="1418" w:header="851" w:footer="992" w:gutter="0"/>
          <w:pgNumType w:fmt="numberInDash"/>
          <w:cols w:space="720" w:num="1"/>
          <w:titlePg/>
          <w:docGrid w:type="lines" w:linePitch="312" w:charSpace="0"/>
        </w:sectPr>
      </w:pPr>
    </w:p>
    <w:p w14:paraId="3807B430">
      <w:pPr>
        <w:pStyle w:val="4"/>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A986012">
      <w:pPr>
        <w:pStyle w:val="5"/>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62AA42B7">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CE5ED1">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5"/>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szCs w:val="21"/>
              </w:rPr>
            </w:pPr>
            <w:r>
              <w:rPr>
                <w:rFonts w:ascii="宋体" w:hAnsi="宋体" w:eastAsia="宋体" w:cs="宋体"/>
                <w:szCs w:val="21"/>
              </w:rPr>
              <w:t>1</w:t>
            </w:r>
          </w:p>
        </w:tc>
        <w:tc>
          <w:tcPr>
            <w:tcW w:w="2315" w:type="dxa"/>
            <w:gridSpan w:val="2"/>
            <w:vAlign w:val="center"/>
          </w:tcPr>
          <w:p w14:paraId="1E61F0C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2</w:t>
            </w:r>
          </w:p>
        </w:tc>
        <w:tc>
          <w:tcPr>
            <w:tcW w:w="1722" w:type="dxa"/>
            <w:vAlign w:val="center"/>
          </w:tcPr>
          <w:p w14:paraId="2E5E0FBB">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3</w:t>
            </w:r>
          </w:p>
        </w:tc>
        <w:tc>
          <w:tcPr>
            <w:tcW w:w="703" w:type="dxa"/>
            <w:vAlign w:val="center"/>
          </w:tcPr>
          <w:p w14:paraId="698E36D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4</w:t>
            </w:r>
          </w:p>
        </w:tc>
        <w:tc>
          <w:tcPr>
            <w:tcW w:w="550" w:type="dxa"/>
            <w:vAlign w:val="center"/>
          </w:tcPr>
          <w:p w14:paraId="0FDA17D8">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hint="eastAsia" w:ascii="宋体" w:hAnsi="宋体" w:eastAsia="宋体" w:cs="宋体"/>
                <w:szCs w:val="21"/>
              </w:rPr>
              <w:t>5</w:t>
            </w:r>
          </w:p>
        </w:tc>
        <w:tc>
          <w:tcPr>
            <w:tcW w:w="2550" w:type="dxa"/>
            <w:vAlign w:val="center"/>
          </w:tcPr>
          <w:p w14:paraId="3CD16F1E">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6</w:t>
            </w:r>
          </w:p>
        </w:tc>
        <w:tc>
          <w:tcPr>
            <w:tcW w:w="2510" w:type="dxa"/>
            <w:tcBorders>
              <w:right w:val="single" w:color="000000" w:sz="4" w:space="0"/>
            </w:tcBorders>
            <w:vAlign w:val="center"/>
          </w:tcPr>
          <w:p w14:paraId="49A0ADD6">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ascii="宋体" w:hAnsi="宋体" w:eastAsia="宋体" w:cs="宋体"/>
                <w:szCs w:val="21"/>
              </w:rPr>
              <w:t>7</w:t>
            </w:r>
          </w:p>
        </w:tc>
        <w:tc>
          <w:tcPr>
            <w:tcW w:w="2196" w:type="dxa"/>
            <w:tcBorders>
              <w:left w:val="single" w:color="000000" w:sz="4" w:space="0"/>
            </w:tcBorders>
            <w:vAlign w:val="center"/>
          </w:tcPr>
          <w:p w14:paraId="3439BFB6">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ascii="宋体" w:hAnsi="宋体" w:eastAsia="宋体" w:cs="宋体"/>
                <w:szCs w:val="21"/>
              </w:rPr>
              <w:t>8</w:t>
            </w:r>
          </w:p>
        </w:tc>
        <w:tc>
          <w:tcPr>
            <w:tcW w:w="964" w:type="dxa"/>
            <w:vAlign w:val="center"/>
          </w:tcPr>
          <w:p w14:paraId="267C823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hint="eastAsia" w:ascii="宋体" w:hAnsi="宋体" w:eastAsia="宋体" w:cs="宋体"/>
                <w:szCs w:val="21"/>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29511D55">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2315" w:type="dxa"/>
            <w:gridSpan w:val="2"/>
            <w:vAlign w:val="center"/>
          </w:tcPr>
          <w:p w14:paraId="27DF105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货物名称</w:t>
            </w:r>
          </w:p>
        </w:tc>
        <w:tc>
          <w:tcPr>
            <w:tcW w:w="1722" w:type="dxa"/>
            <w:vAlign w:val="center"/>
          </w:tcPr>
          <w:p w14:paraId="3383620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型号和规格</w:t>
            </w:r>
          </w:p>
        </w:tc>
        <w:tc>
          <w:tcPr>
            <w:tcW w:w="703" w:type="dxa"/>
            <w:vAlign w:val="center"/>
          </w:tcPr>
          <w:p w14:paraId="525480C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550" w:type="dxa"/>
            <w:vAlign w:val="center"/>
          </w:tcPr>
          <w:p w14:paraId="0EDC60A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2550" w:type="dxa"/>
            <w:vAlign w:val="center"/>
          </w:tcPr>
          <w:p w14:paraId="3773C546">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原产地和制造商名称</w:t>
            </w:r>
          </w:p>
        </w:tc>
        <w:tc>
          <w:tcPr>
            <w:tcW w:w="2510" w:type="dxa"/>
            <w:tcBorders>
              <w:right w:val="single" w:color="000000" w:sz="4" w:space="0"/>
            </w:tcBorders>
            <w:vAlign w:val="center"/>
          </w:tcPr>
          <w:p w14:paraId="6F63DE8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655CC18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2196" w:type="dxa"/>
            <w:tcBorders>
              <w:left w:val="single" w:color="000000" w:sz="4" w:space="0"/>
            </w:tcBorders>
            <w:vAlign w:val="center"/>
          </w:tcPr>
          <w:p w14:paraId="327A164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总价[4×7]（不含税）</w:t>
            </w:r>
          </w:p>
          <w:p w14:paraId="10B4F29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964" w:type="dxa"/>
            <w:vAlign w:val="center"/>
          </w:tcPr>
          <w:p w14:paraId="08CB541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color w:val="000000"/>
                <w:szCs w:val="21"/>
              </w:rPr>
              <w:t>1</w:t>
            </w:r>
          </w:p>
        </w:tc>
        <w:tc>
          <w:tcPr>
            <w:tcW w:w="2315" w:type="dxa"/>
            <w:gridSpan w:val="2"/>
            <w:shd w:val="clear" w:color="auto" w:fill="auto"/>
            <w:vAlign w:val="center"/>
          </w:tcPr>
          <w:p w14:paraId="6359B62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03AD3DF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282F4A7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9482B8B">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0BB407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AA44428">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AD79E35">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5CDD0B6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2</w:t>
            </w:r>
          </w:p>
        </w:tc>
        <w:tc>
          <w:tcPr>
            <w:tcW w:w="2315" w:type="dxa"/>
            <w:gridSpan w:val="2"/>
            <w:shd w:val="clear" w:color="auto" w:fill="auto"/>
            <w:vAlign w:val="center"/>
          </w:tcPr>
          <w:p w14:paraId="10B05B15">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58A2E0C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7B957227">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2F492FCA">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5BB2855">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1807177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631B770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2FB363F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3</w:t>
            </w:r>
          </w:p>
        </w:tc>
        <w:tc>
          <w:tcPr>
            <w:tcW w:w="2315" w:type="dxa"/>
            <w:gridSpan w:val="2"/>
            <w:shd w:val="clear" w:color="auto" w:fill="auto"/>
            <w:vAlign w:val="center"/>
          </w:tcPr>
          <w:p w14:paraId="00D32B6E">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4035B93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680FF4F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47354F38">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32CE69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C981BFB">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02764B3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0F2F7CE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4</w:t>
            </w:r>
          </w:p>
        </w:tc>
        <w:tc>
          <w:tcPr>
            <w:tcW w:w="2315" w:type="dxa"/>
            <w:gridSpan w:val="2"/>
            <w:shd w:val="clear" w:color="auto" w:fill="auto"/>
            <w:vAlign w:val="center"/>
          </w:tcPr>
          <w:p w14:paraId="599C685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05C358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4C7EB7B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45BA7E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3B440A8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3C54A1D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5D1121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0B0C30C">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5</w:t>
            </w:r>
          </w:p>
        </w:tc>
        <w:tc>
          <w:tcPr>
            <w:tcW w:w="2315" w:type="dxa"/>
            <w:gridSpan w:val="2"/>
            <w:shd w:val="clear" w:color="auto" w:fill="auto"/>
            <w:vAlign w:val="center"/>
          </w:tcPr>
          <w:p w14:paraId="2573CB86">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65398E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301E1C8E">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0E3A3B5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B045F6F">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21CE20C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7BCD65DC">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1C99FC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1B7D0BF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ascii="宋体" w:hAnsi="宋体" w:eastAsia="宋体" w:cs="宋体"/>
                <w:position w:val="1"/>
                <w:szCs w:val="21"/>
              </w:rPr>
              <w:t>…</w:t>
            </w:r>
          </w:p>
        </w:tc>
        <w:tc>
          <w:tcPr>
            <w:tcW w:w="2315" w:type="dxa"/>
            <w:gridSpan w:val="2"/>
            <w:shd w:val="clear" w:color="auto" w:fill="auto"/>
          </w:tcPr>
          <w:p w14:paraId="27415522">
            <w:pPr>
              <w:pageBreakBefore w:val="0"/>
              <w:widowControl w:val="0"/>
              <w:kinsoku/>
              <w:wordWrap/>
              <w:overflowPunct/>
              <w:topLinePunct w:val="0"/>
              <w:autoSpaceDE/>
              <w:autoSpaceDN/>
              <w:bidi w:val="0"/>
              <w:spacing w:after="0"/>
              <w:textAlignment w:val="auto"/>
              <w:rPr>
                <w:rFonts w:ascii="宋体" w:hAnsi="宋体" w:eastAsia="宋体" w:cs="宋体"/>
                <w:szCs w:val="21"/>
              </w:rPr>
            </w:pPr>
            <w:r>
              <w:rPr>
                <w:rFonts w:hint="eastAsia" w:ascii="宋体" w:hAnsi="宋体" w:eastAsia="宋体" w:cs="Times New Roman"/>
                <w:sz w:val="18"/>
                <w:szCs w:val="18"/>
              </w:rPr>
              <w:t>以上投标设备不足之处请往下添加序号自行补充</w:t>
            </w:r>
          </w:p>
        </w:tc>
        <w:tc>
          <w:tcPr>
            <w:tcW w:w="1722" w:type="dxa"/>
          </w:tcPr>
          <w:p w14:paraId="106BAEA1">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703" w:type="dxa"/>
          </w:tcPr>
          <w:p w14:paraId="0E170F96">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550" w:type="dxa"/>
          </w:tcPr>
          <w:p w14:paraId="25BDB0B4">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2550" w:type="dxa"/>
          </w:tcPr>
          <w:p w14:paraId="7930C09B">
            <w:pPr>
              <w:pageBreakBefore w:val="0"/>
              <w:widowControl w:val="0"/>
              <w:kinsoku/>
              <w:wordWrap/>
              <w:overflowPunct/>
              <w:topLinePunct w:val="0"/>
              <w:autoSpaceDE/>
              <w:autoSpaceDN/>
              <w:bidi w:val="0"/>
              <w:spacing w:after="0"/>
              <w:textAlignment w:val="auto"/>
              <w:rPr>
                <w:rFonts w:ascii="Arial"/>
              </w:rPr>
            </w:pPr>
          </w:p>
        </w:tc>
        <w:tc>
          <w:tcPr>
            <w:tcW w:w="2510" w:type="dxa"/>
            <w:tcBorders>
              <w:right w:val="single" w:color="000000" w:sz="4" w:space="0"/>
            </w:tcBorders>
          </w:tcPr>
          <w:p w14:paraId="5E59E4A1">
            <w:pPr>
              <w:pageBreakBefore w:val="0"/>
              <w:widowControl w:val="0"/>
              <w:kinsoku/>
              <w:wordWrap/>
              <w:overflowPunct/>
              <w:topLinePunct w:val="0"/>
              <w:autoSpaceDE/>
              <w:autoSpaceDN/>
              <w:bidi w:val="0"/>
              <w:spacing w:after="0"/>
              <w:textAlignment w:val="auto"/>
              <w:rPr>
                <w:rFonts w:ascii="Arial"/>
              </w:rPr>
            </w:pPr>
          </w:p>
        </w:tc>
        <w:tc>
          <w:tcPr>
            <w:tcW w:w="2196" w:type="dxa"/>
            <w:tcBorders>
              <w:left w:val="single" w:color="000000" w:sz="4" w:space="0"/>
            </w:tcBorders>
          </w:tcPr>
          <w:p w14:paraId="39A4EB1A">
            <w:pPr>
              <w:pageBreakBefore w:val="0"/>
              <w:widowControl w:val="0"/>
              <w:kinsoku/>
              <w:wordWrap/>
              <w:overflowPunct/>
              <w:topLinePunct w:val="0"/>
              <w:autoSpaceDE/>
              <w:autoSpaceDN/>
              <w:bidi w:val="0"/>
              <w:spacing w:after="0"/>
              <w:textAlignment w:val="auto"/>
              <w:rPr>
                <w:rFonts w:ascii="Arial"/>
              </w:rPr>
            </w:pPr>
          </w:p>
        </w:tc>
        <w:tc>
          <w:tcPr>
            <w:tcW w:w="964" w:type="dxa"/>
          </w:tcPr>
          <w:p w14:paraId="06DC0C88">
            <w:pPr>
              <w:pageBreakBefore w:val="0"/>
              <w:widowControl w:val="0"/>
              <w:kinsoku/>
              <w:wordWrap/>
              <w:overflowPunct/>
              <w:topLinePunct w:val="0"/>
              <w:autoSpaceDE/>
              <w:autoSpaceDN/>
              <w:bidi w:val="0"/>
              <w:spacing w:after="0"/>
              <w:textAlignment w:val="auto"/>
              <w:rPr>
                <w:rFonts w:ascii="Arial"/>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4B311B">
            <w:pPr>
              <w:pageBreakBefore w:val="0"/>
              <w:widowControl w:val="0"/>
              <w:kinsoku/>
              <w:wordWrap/>
              <w:overflowPunct/>
              <w:topLinePunct w:val="0"/>
              <w:autoSpaceDE/>
              <w:autoSpaceDN/>
              <w:bidi w:val="0"/>
              <w:spacing w:after="0"/>
              <w:jc w:val="center"/>
              <w:textAlignment w:val="auto"/>
              <w:rPr>
                <w:rFonts w:ascii="宋体" w:hAnsi="宋体" w:eastAsia="宋体" w:cs="宋体"/>
                <w:spacing w:val="-6"/>
                <w:szCs w:val="21"/>
              </w:rPr>
            </w:pPr>
          </w:p>
        </w:tc>
        <w:tc>
          <w:tcPr>
            <w:tcW w:w="9440" w:type="dxa"/>
            <w:gridSpan w:val="6"/>
            <w:tcBorders>
              <w:right w:val="single" w:color="000000" w:sz="4" w:space="0"/>
            </w:tcBorders>
          </w:tcPr>
          <w:p w14:paraId="44A79AF8">
            <w:pPr>
              <w:pageBreakBefore w:val="0"/>
              <w:widowControl w:val="0"/>
              <w:kinsoku/>
              <w:wordWrap/>
              <w:overflowPunct/>
              <w:topLinePunct w:val="0"/>
              <w:autoSpaceDE/>
              <w:autoSpaceDN/>
              <w:bidi w:val="0"/>
              <w:spacing w:after="0"/>
              <w:jc w:val="center"/>
              <w:textAlignment w:val="auto"/>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196" w:type="dxa"/>
            <w:tcBorders>
              <w:left w:val="single" w:color="000000" w:sz="4" w:space="0"/>
            </w:tcBorders>
          </w:tcPr>
          <w:p w14:paraId="6CF104D7">
            <w:pPr>
              <w:pageBreakBefore w:val="0"/>
              <w:widowControl w:val="0"/>
              <w:kinsoku/>
              <w:wordWrap/>
              <w:overflowPunct/>
              <w:topLinePunct w:val="0"/>
              <w:autoSpaceDE/>
              <w:autoSpaceDN/>
              <w:bidi w:val="0"/>
              <w:spacing w:after="0"/>
              <w:textAlignment w:val="auto"/>
              <w:rPr>
                <w:rFonts w:ascii="Arial"/>
              </w:rPr>
            </w:pPr>
          </w:p>
        </w:tc>
        <w:tc>
          <w:tcPr>
            <w:tcW w:w="964" w:type="dxa"/>
          </w:tcPr>
          <w:p w14:paraId="7553A9C2">
            <w:pPr>
              <w:pageBreakBefore w:val="0"/>
              <w:widowControl w:val="0"/>
              <w:kinsoku/>
              <w:wordWrap/>
              <w:overflowPunct/>
              <w:topLinePunct w:val="0"/>
              <w:autoSpaceDE/>
              <w:autoSpaceDN/>
              <w:bidi w:val="0"/>
              <w:spacing w:after="0"/>
              <w:textAlignment w:val="auto"/>
              <w:rPr>
                <w:rFonts w:ascii="Arial"/>
              </w:rPr>
            </w:pPr>
          </w:p>
        </w:tc>
      </w:tr>
    </w:tbl>
    <w:p w14:paraId="2F56F991">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8"/>
          <w:szCs w:val="21"/>
        </w:rPr>
      </w:pPr>
    </w:p>
    <w:p w14:paraId="36B0F403">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4"/>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D8DE3BE">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66C2E6">
      <w:pPr>
        <w:pageBreakBefore w:val="0"/>
        <w:widowControl w:val="0"/>
        <w:kinsoku/>
        <w:wordWrap/>
        <w:overflowPunct/>
        <w:topLinePunct w:val="0"/>
        <w:autoSpaceDE/>
        <w:autoSpaceDN/>
        <w:bidi w:val="0"/>
        <w:spacing w:before="85" w:after="0" w:line="198" w:lineRule="auto"/>
        <w:ind w:left="432"/>
        <w:textAlignment w:val="auto"/>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C4FA0FD">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DFBC8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51B20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28C9D0">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5B724C6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4AEA3AF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16E552B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76A27A9C">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p>
    <w:p w14:paraId="5246ADDA">
      <w:pPr>
        <w:rPr>
          <w:rFonts w:ascii="宋体" w:hAnsi="宋体" w:eastAsia="宋体" w:cs="宋体"/>
          <w:sz w:val="24"/>
          <w:szCs w:val="24"/>
        </w:rPr>
      </w:pPr>
    </w:p>
    <w:p w14:paraId="1A18A814">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EF4BC8A">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4DF1D997">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5"/>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pageBreakBefore w:val="0"/>
              <w:widowControl w:val="0"/>
              <w:kinsoku/>
              <w:wordWrap/>
              <w:overflowPunct/>
              <w:topLinePunct w:val="0"/>
              <w:autoSpaceDE/>
              <w:autoSpaceDN/>
              <w:bidi w:val="0"/>
              <w:adjustRightInd/>
              <w:snapToGrid/>
              <w:spacing w:after="0" w:line="296" w:lineRule="auto"/>
              <w:textAlignment w:val="auto"/>
              <w:rPr>
                <w:rFonts w:ascii="Arial"/>
              </w:rPr>
            </w:pPr>
          </w:p>
          <w:p w14:paraId="649AD62D">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14:paraId="231766AC">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53CAA4A8">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szCs w:val="21"/>
              </w:rPr>
            </w:pPr>
            <w:r>
              <w:rPr>
                <w:rFonts w:ascii="宋体" w:hAnsi="宋体" w:eastAsia="宋体" w:cs="宋体"/>
                <w:spacing w:val="-1"/>
                <w:szCs w:val="21"/>
              </w:rPr>
              <w:t>内  容</w:t>
            </w:r>
          </w:p>
        </w:tc>
        <w:tc>
          <w:tcPr>
            <w:tcW w:w="2159" w:type="dxa"/>
          </w:tcPr>
          <w:p w14:paraId="201BA882">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szCs w:val="21"/>
              </w:rPr>
            </w:pPr>
            <w:r>
              <w:rPr>
                <w:rFonts w:ascii="宋体" w:hAnsi="宋体" w:eastAsia="宋体" w:cs="宋体"/>
                <w:spacing w:val="-1"/>
                <w:szCs w:val="21"/>
              </w:rPr>
              <w:t>数  量</w:t>
            </w:r>
          </w:p>
        </w:tc>
        <w:tc>
          <w:tcPr>
            <w:tcW w:w="2186" w:type="dxa"/>
          </w:tcPr>
          <w:p w14:paraId="601C5725">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14:paraId="3A481111">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14:paraId="79C37EDB">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szCs w:val="21"/>
              </w:rPr>
            </w:pPr>
            <w:r>
              <w:rPr>
                <w:rFonts w:ascii="宋体" w:hAnsi="宋体" w:eastAsia="宋体" w:cs="宋体"/>
                <w:spacing w:val="-1"/>
                <w:szCs w:val="21"/>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pageBreakBefore w:val="0"/>
              <w:widowControl w:val="0"/>
              <w:kinsoku/>
              <w:wordWrap/>
              <w:overflowPunct/>
              <w:topLinePunct w:val="0"/>
              <w:autoSpaceDE/>
              <w:autoSpaceDN/>
              <w:bidi w:val="0"/>
              <w:adjustRightInd/>
              <w:snapToGrid/>
              <w:spacing w:after="0"/>
              <w:textAlignment w:val="auto"/>
              <w:rPr>
                <w:rFonts w:ascii="Arial"/>
              </w:rPr>
            </w:pPr>
          </w:p>
        </w:tc>
        <w:tc>
          <w:tcPr>
            <w:tcW w:w="3530" w:type="dxa"/>
            <w:vMerge w:val="continue"/>
            <w:tcBorders>
              <w:top w:val="nil"/>
            </w:tcBorders>
          </w:tcPr>
          <w:p w14:paraId="66F8D401">
            <w:pPr>
              <w:pageBreakBefore w:val="0"/>
              <w:widowControl w:val="0"/>
              <w:kinsoku/>
              <w:wordWrap/>
              <w:overflowPunct/>
              <w:topLinePunct w:val="0"/>
              <w:autoSpaceDE/>
              <w:autoSpaceDN/>
              <w:bidi w:val="0"/>
              <w:adjustRightInd/>
              <w:snapToGrid/>
              <w:spacing w:after="0"/>
              <w:textAlignment w:val="auto"/>
              <w:rPr>
                <w:rFonts w:ascii="Arial"/>
              </w:rPr>
            </w:pPr>
          </w:p>
        </w:tc>
        <w:tc>
          <w:tcPr>
            <w:tcW w:w="2159" w:type="dxa"/>
          </w:tcPr>
          <w:p w14:paraId="72EA0C97">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szCs w:val="21"/>
              </w:rPr>
            </w:pPr>
            <w:r>
              <w:rPr>
                <w:rFonts w:ascii="宋体" w:hAnsi="宋体" w:eastAsia="宋体" w:cs="宋体"/>
                <w:szCs w:val="21"/>
              </w:rPr>
              <w:t>1</w:t>
            </w:r>
          </w:p>
        </w:tc>
        <w:tc>
          <w:tcPr>
            <w:tcW w:w="2186" w:type="dxa"/>
          </w:tcPr>
          <w:p w14:paraId="17F20215">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szCs w:val="21"/>
              </w:rPr>
            </w:pPr>
            <w:r>
              <w:rPr>
                <w:rFonts w:ascii="宋体" w:hAnsi="宋体" w:eastAsia="宋体" w:cs="宋体"/>
                <w:szCs w:val="21"/>
              </w:rPr>
              <w:t>2</w:t>
            </w:r>
          </w:p>
        </w:tc>
        <w:tc>
          <w:tcPr>
            <w:tcW w:w="2596" w:type="dxa"/>
          </w:tcPr>
          <w:p w14:paraId="3A46919B">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04CC711">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szCs w:val="21"/>
              </w:rPr>
            </w:pPr>
            <w:r>
              <w:rPr>
                <w:rFonts w:ascii="宋体" w:hAnsi="宋体" w:eastAsia="宋体" w:cs="宋体"/>
                <w:szCs w:val="21"/>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szCs w:val="21"/>
              </w:rPr>
            </w:pPr>
            <w:r>
              <w:rPr>
                <w:rFonts w:hint="eastAsia" w:ascii="宋体" w:hAnsi="宋体" w:eastAsia="宋体" w:cs="宋体"/>
                <w:szCs w:val="21"/>
              </w:rPr>
              <w:t>1</w:t>
            </w:r>
          </w:p>
        </w:tc>
        <w:tc>
          <w:tcPr>
            <w:tcW w:w="3530" w:type="dxa"/>
          </w:tcPr>
          <w:p w14:paraId="0D71715D">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416BEDF">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07A552CC">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6C661128">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2AD1C73">
            <w:pPr>
              <w:pageBreakBefore w:val="0"/>
              <w:widowControl w:val="0"/>
              <w:kinsoku/>
              <w:wordWrap/>
              <w:overflowPunct/>
              <w:topLinePunct w:val="0"/>
              <w:autoSpaceDE/>
              <w:autoSpaceDN/>
              <w:bidi w:val="0"/>
              <w:adjustRightInd/>
              <w:snapToGrid/>
              <w:spacing w:after="0"/>
              <w:textAlignment w:val="auto"/>
              <w:rPr>
                <w:rFonts w:ascii="Arial"/>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szCs w:val="21"/>
              </w:rPr>
            </w:pPr>
            <w:r>
              <w:rPr>
                <w:rFonts w:hint="eastAsia" w:ascii="宋体" w:hAnsi="宋体" w:eastAsia="宋体" w:cs="宋体"/>
                <w:szCs w:val="21"/>
              </w:rPr>
              <w:t>2</w:t>
            </w:r>
          </w:p>
        </w:tc>
        <w:tc>
          <w:tcPr>
            <w:tcW w:w="3530" w:type="dxa"/>
          </w:tcPr>
          <w:p w14:paraId="772476CC">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CEE581C">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6EB70881">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7ECE3100">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restart"/>
            <w:tcBorders>
              <w:bottom w:val="nil"/>
            </w:tcBorders>
          </w:tcPr>
          <w:p w14:paraId="473ABBD2">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334433A4">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szCs w:val="21"/>
              </w:rPr>
            </w:pPr>
            <w:r>
              <w:rPr>
                <w:rFonts w:hint="eastAsia" w:ascii="宋体" w:hAnsi="宋体" w:eastAsia="宋体" w:cs="宋体"/>
                <w:szCs w:val="21"/>
              </w:rPr>
              <w:t>3</w:t>
            </w:r>
          </w:p>
        </w:tc>
        <w:tc>
          <w:tcPr>
            <w:tcW w:w="3530" w:type="dxa"/>
          </w:tcPr>
          <w:p w14:paraId="11EEE4C0">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szCs w:val="21"/>
              </w:rPr>
            </w:pPr>
            <w:r>
              <w:rPr>
                <w:rFonts w:ascii="宋体" w:hAnsi="宋体" w:eastAsia="宋体" w:cs="宋体"/>
                <w:spacing w:val="-1"/>
                <w:szCs w:val="21"/>
              </w:rPr>
              <w:t>运输保险费</w:t>
            </w:r>
          </w:p>
        </w:tc>
        <w:tc>
          <w:tcPr>
            <w:tcW w:w="2159" w:type="dxa"/>
          </w:tcPr>
          <w:p w14:paraId="14CA5339">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0E77166">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9F618AB">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continue"/>
            <w:tcBorders>
              <w:top w:val="nil"/>
            </w:tcBorders>
          </w:tcPr>
          <w:p w14:paraId="311D1DF5">
            <w:pPr>
              <w:pageBreakBefore w:val="0"/>
              <w:widowControl w:val="0"/>
              <w:kinsoku/>
              <w:wordWrap/>
              <w:overflowPunct/>
              <w:topLinePunct w:val="0"/>
              <w:autoSpaceDE/>
              <w:autoSpaceDN/>
              <w:bidi w:val="0"/>
              <w:adjustRightInd/>
              <w:snapToGrid/>
              <w:spacing w:after="0"/>
              <w:textAlignment w:val="auto"/>
              <w:rPr>
                <w:rFonts w:ascii="Arial"/>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szCs w:val="21"/>
              </w:rPr>
            </w:pPr>
            <w:r>
              <w:rPr>
                <w:rFonts w:hint="eastAsia" w:ascii="宋体" w:hAnsi="宋体" w:eastAsia="宋体" w:cs="宋体"/>
                <w:szCs w:val="21"/>
              </w:rPr>
              <w:t>4</w:t>
            </w:r>
          </w:p>
        </w:tc>
        <w:tc>
          <w:tcPr>
            <w:tcW w:w="3530" w:type="dxa"/>
          </w:tcPr>
          <w:p w14:paraId="5FF1BF44">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8437303">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2EA015BB">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E6E6007">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7B66D61D">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5</w:t>
            </w:r>
          </w:p>
        </w:tc>
        <w:tc>
          <w:tcPr>
            <w:tcW w:w="3530" w:type="dxa"/>
          </w:tcPr>
          <w:p w14:paraId="598B7618">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zCs w:val="21"/>
              </w:rPr>
            </w:pPr>
            <w:r>
              <w:rPr>
                <w:rFonts w:hint="eastAsia" w:ascii="宋体" w:hAnsi="宋体" w:eastAsia="宋体" w:cs="宋体"/>
                <w:spacing w:val="-2"/>
                <w:szCs w:val="21"/>
              </w:rPr>
              <w:t>土建</w:t>
            </w:r>
          </w:p>
        </w:tc>
        <w:tc>
          <w:tcPr>
            <w:tcW w:w="2159" w:type="dxa"/>
          </w:tcPr>
          <w:p w14:paraId="563E5E58">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1B637D4">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6887C09">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D0B2BB4">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E1C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1E7A42E">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6</w:t>
            </w:r>
          </w:p>
        </w:tc>
        <w:tc>
          <w:tcPr>
            <w:tcW w:w="3530" w:type="dxa"/>
          </w:tcPr>
          <w:p w14:paraId="7E9232A1">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pacing w:val="-2"/>
                <w:szCs w:val="21"/>
              </w:rPr>
            </w:pPr>
            <w:r>
              <w:rPr>
                <w:rFonts w:ascii="宋体" w:hAnsi="宋体" w:eastAsia="宋体" w:cs="宋体"/>
                <w:spacing w:val="-2"/>
                <w:szCs w:val="21"/>
              </w:rPr>
              <w:t>其他</w:t>
            </w:r>
          </w:p>
        </w:tc>
        <w:tc>
          <w:tcPr>
            <w:tcW w:w="2159" w:type="dxa"/>
          </w:tcPr>
          <w:p w14:paraId="49AD33FD">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14B04129">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8C089FA">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1D7A0B9F">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D4B4CE">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9E782E3">
      <w:pPr>
        <w:pageBreakBefore w:val="0"/>
        <w:widowControl w:val="0"/>
        <w:kinsoku/>
        <w:wordWrap/>
        <w:overflowPunct/>
        <w:topLinePunct w:val="0"/>
        <w:autoSpaceDE/>
        <w:autoSpaceDN/>
        <w:bidi w:val="0"/>
        <w:adjustRightInd/>
        <w:snapToGrid/>
        <w:spacing w:after="0" w:line="172" w:lineRule="exact"/>
        <w:textAlignment w:val="auto"/>
      </w:pPr>
    </w:p>
    <w:p w14:paraId="41953141">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38F6EF2">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09FF5B6">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A1F8A6">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7CCAE4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45D09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1B5EF77C">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5491B5A">
      <w:pPr>
        <w:rPr>
          <w:sz w:val="24"/>
          <w:szCs w:val="24"/>
        </w:rPr>
        <w:sectPr>
          <w:headerReference r:id="rId13" w:type="default"/>
          <w:footerReference r:id="rId14" w:type="default"/>
          <w:pgSz w:w="16841" w:h="11907"/>
          <w:pgMar w:top="400" w:right="1699" w:bottom="1184" w:left="1481" w:header="0" w:footer="1022" w:gutter="0"/>
          <w:pgNumType w:fmt="numberInDash"/>
          <w:cols w:space="720" w:num="1"/>
        </w:sectPr>
      </w:pPr>
    </w:p>
    <w:p w14:paraId="00AB143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3E33C851">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63989DB2">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0E6ABE6">
      <w:pPr>
        <w:pageBreakBefore w:val="0"/>
        <w:widowControl w:val="0"/>
        <w:kinsoku/>
        <w:wordWrap/>
        <w:overflowPunct/>
        <w:topLinePunct w:val="0"/>
        <w:autoSpaceDE/>
        <w:autoSpaceDN/>
        <w:bidi w:val="0"/>
        <w:adjustRightInd/>
        <w:snapToGrid/>
        <w:spacing w:after="0"/>
        <w:textAlignment w:val="auto"/>
      </w:pPr>
    </w:p>
    <w:p w14:paraId="5C5D8885">
      <w:pPr>
        <w:pageBreakBefore w:val="0"/>
        <w:widowControl w:val="0"/>
        <w:kinsoku/>
        <w:wordWrap/>
        <w:overflowPunct/>
        <w:topLinePunct w:val="0"/>
        <w:autoSpaceDE/>
        <w:autoSpaceDN/>
        <w:bidi w:val="0"/>
        <w:adjustRightInd/>
        <w:snapToGrid/>
        <w:spacing w:after="0" w:line="20" w:lineRule="exact"/>
        <w:textAlignment w:val="auto"/>
      </w:pPr>
    </w:p>
    <w:tbl>
      <w:tblPr>
        <w:tblStyle w:val="135"/>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B4B3AC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01B6DD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1751A0C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3190E92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F4E2D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153E06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795D2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szCs w:val="21"/>
              </w:rPr>
            </w:pPr>
            <w:r>
              <w:rPr>
                <w:rFonts w:ascii="宋体" w:hAnsi="宋体" w:eastAsia="宋体" w:cs="宋体"/>
                <w:szCs w:val="21"/>
              </w:rPr>
              <w:t>1</w:t>
            </w:r>
          </w:p>
        </w:tc>
        <w:tc>
          <w:tcPr>
            <w:tcW w:w="3625" w:type="dxa"/>
            <w:vAlign w:val="center"/>
          </w:tcPr>
          <w:p w14:paraId="521003B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4B6B621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19FDC2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CCED54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45D82B41">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1003422">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szCs w:val="21"/>
              </w:rPr>
            </w:pPr>
            <w:r>
              <w:rPr>
                <w:rFonts w:ascii="宋体" w:hAnsi="宋体" w:eastAsia="宋体" w:cs="宋体"/>
                <w:szCs w:val="21"/>
              </w:rPr>
              <w:t>2</w:t>
            </w:r>
          </w:p>
        </w:tc>
        <w:tc>
          <w:tcPr>
            <w:tcW w:w="3625" w:type="dxa"/>
            <w:vAlign w:val="center"/>
          </w:tcPr>
          <w:p w14:paraId="4117359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326F5AF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501744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53D754C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06DC8075">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5438CF6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szCs w:val="21"/>
              </w:rPr>
            </w:pPr>
            <w:r>
              <w:rPr>
                <w:rFonts w:ascii="宋体" w:hAnsi="宋体" w:eastAsia="宋体" w:cs="宋体"/>
                <w:szCs w:val="21"/>
              </w:rPr>
              <w:t>3</w:t>
            </w:r>
          </w:p>
        </w:tc>
        <w:tc>
          <w:tcPr>
            <w:tcW w:w="3625" w:type="dxa"/>
            <w:vAlign w:val="center"/>
          </w:tcPr>
          <w:p w14:paraId="583B240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6FE1A82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FE012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317EBBD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65F8E0F3">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7DAACD0">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szCs w:val="21"/>
              </w:rPr>
            </w:pPr>
            <w:r>
              <w:rPr>
                <w:rFonts w:hint="eastAsia" w:ascii="宋体" w:hAnsi="宋体" w:eastAsia="宋体" w:cs="宋体"/>
                <w:szCs w:val="21"/>
              </w:rPr>
              <w:t>4</w:t>
            </w:r>
          </w:p>
        </w:tc>
        <w:tc>
          <w:tcPr>
            <w:tcW w:w="3625" w:type="dxa"/>
            <w:vAlign w:val="center"/>
          </w:tcPr>
          <w:p w14:paraId="48F837B5">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57DF3F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C063DE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682813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27A500C4">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001B1F7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3EB02A0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74A540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986241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A23BC95">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08067061">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1FC97697">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D74391">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347DACE">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6A1F577">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E52ADF9">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E8F7D5">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8788011">
      <w:pPr>
        <w:pageBreakBefore w:val="0"/>
        <w:widowControl w:val="0"/>
        <w:kinsoku/>
        <w:wordWrap/>
        <w:overflowPunct/>
        <w:topLinePunct w:val="0"/>
        <w:autoSpaceDE/>
        <w:autoSpaceDN/>
        <w:bidi w:val="0"/>
        <w:adjustRightInd/>
        <w:snapToGrid/>
        <w:spacing w:after="0"/>
        <w:textAlignment w:val="auto"/>
      </w:pPr>
    </w:p>
    <w:p w14:paraId="71D5F646">
      <w:pPr>
        <w:pStyle w:val="17"/>
        <w:pageBreakBefore w:val="0"/>
        <w:widowControl w:val="0"/>
        <w:kinsoku/>
        <w:wordWrap/>
        <w:overflowPunct/>
        <w:topLinePunct w:val="0"/>
        <w:autoSpaceDE/>
        <w:autoSpaceDN/>
        <w:bidi w:val="0"/>
        <w:adjustRightInd/>
        <w:snapToGrid/>
        <w:spacing w:after="0"/>
        <w:textAlignment w:val="auto"/>
      </w:pPr>
    </w:p>
    <w:p w14:paraId="3855BD10">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C42DC5D">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sectPr>
          <w:footerReference r:id="rId15" w:type="default"/>
          <w:pgSz w:w="16841" w:h="11907"/>
          <w:pgMar w:top="400" w:right="1699" w:bottom="1184" w:left="1481" w:header="0" w:footer="1022" w:gutter="0"/>
          <w:pgNumType w:fmt="numberInDash"/>
          <w:cols w:space="720" w:num="1"/>
        </w:sectPr>
      </w:pPr>
    </w:p>
    <w:p w14:paraId="3C0CB58D">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4E9DACED">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11FFDD9C">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FE57786">
      <w:pPr>
        <w:pageBreakBefore w:val="0"/>
        <w:widowControl w:val="0"/>
        <w:kinsoku/>
        <w:wordWrap/>
        <w:overflowPunct/>
        <w:topLinePunct w:val="0"/>
        <w:autoSpaceDE/>
        <w:autoSpaceDN/>
        <w:bidi w:val="0"/>
        <w:adjustRightInd/>
        <w:snapToGrid/>
        <w:spacing w:after="0" w:line="172" w:lineRule="exact"/>
        <w:textAlignment w:val="auto"/>
      </w:pPr>
    </w:p>
    <w:tbl>
      <w:tblPr>
        <w:tblStyle w:val="135"/>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4DB573A">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3DAE04B7">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7F7C69B">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78B1840">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0E2E3754">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1E0D5075">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FD46228">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1C68794">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729E2C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39229D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FF1403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539550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638089E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5536FC8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9833EF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B13FEE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4×6]（不含税）(元)</w:t>
            </w:r>
          </w:p>
        </w:tc>
        <w:tc>
          <w:tcPr>
            <w:tcW w:w="1120" w:type="dxa"/>
            <w:vAlign w:val="center"/>
          </w:tcPr>
          <w:p w14:paraId="49267D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64ADFBE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01A691A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3621449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35519AF8">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16B2D97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664D54A3">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FB4EA13">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1A84B438">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70028F99">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2D4BD6D2">
            <w:pPr>
              <w:pageBreakBefore w:val="0"/>
              <w:widowControl w:val="0"/>
              <w:kinsoku/>
              <w:wordWrap/>
              <w:overflowPunct/>
              <w:topLinePunct w:val="0"/>
              <w:autoSpaceDE/>
              <w:autoSpaceDN/>
              <w:bidi w:val="0"/>
              <w:adjustRightInd/>
              <w:snapToGrid/>
              <w:spacing w:after="0"/>
              <w:textAlignment w:val="auto"/>
              <w:rPr>
                <w:rFonts w:ascii="Arial"/>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3C42BF9">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szCs w:val="21"/>
              </w:rPr>
            </w:pPr>
            <w:r>
              <w:rPr>
                <w:rFonts w:ascii="宋体" w:hAnsi="宋体" w:eastAsia="宋体" w:cs="宋体"/>
                <w:szCs w:val="21"/>
              </w:rPr>
              <w:t>2</w:t>
            </w:r>
          </w:p>
        </w:tc>
        <w:tc>
          <w:tcPr>
            <w:tcW w:w="2543" w:type="dxa"/>
          </w:tcPr>
          <w:p w14:paraId="57D7D057">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0D606E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476D9745">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250FD25">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080C4E6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5B29B191">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698DFF2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783A36A">
            <w:pPr>
              <w:pageBreakBefore w:val="0"/>
              <w:widowControl w:val="0"/>
              <w:kinsoku/>
              <w:wordWrap/>
              <w:overflowPunct/>
              <w:topLinePunct w:val="0"/>
              <w:autoSpaceDE/>
              <w:autoSpaceDN/>
              <w:bidi w:val="0"/>
              <w:adjustRightInd/>
              <w:snapToGrid/>
              <w:spacing w:after="0"/>
              <w:textAlignment w:val="auto"/>
              <w:rPr>
                <w:rFonts w:ascii="Arial"/>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7632AD95">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113A2B29">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F968B73">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4D70A68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5B1444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C967E8A">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24814715">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E90A708">
            <w:pPr>
              <w:pageBreakBefore w:val="0"/>
              <w:widowControl w:val="0"/>
              <w:kinsoku/>
              <w:wordWrap/>
              <w:overflowPunct/>
              <w:topLinePunct w:val="0"/>
              <w:autoSpaceDE/>
              <w:autoSpaceDN/>
              <w:bidi w:val="0"/>
              <w:adjustRightInd/>
              <w:snapToGrid/>
              <w:spacing w:after="0"/>
              <w:textAlignment w:val="auto"/>
              <w:rPr>
                <w:rFonts w:ascii="Arial"/>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6C76CF">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616C00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51D1F5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EB5E759">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237944E8">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E55509E">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A02C386">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713A48D">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579C89E4">
            <w:pPr>
              <w:pageBreakBefore w:val="0"/>
              <w:widowControl w:val="0"/>
              <w:kinsoku/>
              <w:wordWrap/>
              <w:overflowPunct/>
              <w:topLinePunct w:val="0"/>
              <w:autoSpaceDE/>
              <w:autoSpaceDN/>
              <w:bidi w:val="0"/>
              <w:adjustRightInd/>
              <w:snapToGrid/>
              <w:spacing w:after="0"/>
              <w:textAlignment w:val="auto"/>
              <w:rPr>
                <w:rFonts w:ascii="Arial"/>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29EE8ED">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455A7E4D">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3BAC1E4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512362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6B43E06">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3BBC4D70">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1F392A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384F2AFA">
            <w:pPr>
              <w:pageBreakBefore w:val="0"/>
              <w:widowControl w:val="0"/>
              <w:kinsoku/>
              <w:wordWrap/>
              <w:overflowPunct/>
              <w:topLinePunct w:val="0"/>
              <w:autoSpaceDE/>
              <w:autoSpaceDN/>
              <w:bidi w:val="0"/>
              <w:adjustRightInd/>
              <w:snapToGrid/>
              <w:spacing w:after="0"/>
              <w:textAlignment w:val="auto"/>
              <w:rPr>
                <w:rFonts w:ascii="Arial"/>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A06535F">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0903613">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27774D72">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6E2E063">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68C704DD">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6127664">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54A793">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3ADBD05">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2B394428">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EF8761E">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CD83098">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sectPr>
          <w:footerReference r:id="rId16" w:type="default"/>
          <w:pgSz w:w="16841" w:h="11907"/>
          <w:pgMar w:top="400" w:right="1500" w:bottom="1184" w:left="1480" w:header="0" w:footer="1022" w:gutter="0"/>
          <w:pgNumType w:fmt="numberInDash"/>
          <w:cols w:space="720" w:num="1"/>
        </w:sectPr>
      </w:pPr>
    </w:p>
    <w:p w14:paraId="7CCD0CEF">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176253B">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C7F44BE">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97CED9E">
      <w:pPr>
        <w:pageBreakBefore w:val="0"/>
        <w:widowControl w:val="0"/>
        <w:kinsoku/>
        <w:wordWrap/>
        <w:overflowPunct/>
        <w:topLinePunct w:val="0"/>
        <w:autoSpaceDE/>
        <w:autoSpaceDN/>
        <w:bidi w:val="0"/>
        <w:adjustRightInd/>
        <w:snapToGrid/>
        <w:spacing w:after="0" w:line="127" w:lineRule="exact"/>
        <w:textAlignment w:val="auto"/>
      </w:pPr>
    </w:p>
    <w:tbl>
      <w:tblPr>
        <w:tblStyle w:val="135"/>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5C41B43D">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FAC7195">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758E50C5">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szCs w:val="21"/>
              </w:rPr>
            </w:pPr>
            <w:r>
              <w:rPr>
                <w:rFonts w:ascii="宋体" w:hAnsi="宋体" w:eastAsia="宋体" w:cs="宋体"/>
                <w:szCs w:val="21"/>
              </w:rPr>
              <w:t>1</w:t>
            </w:r>
          </w:p>
        </w:tc>
        <w:tc>
          <w:tcPr>
            <w:tcW w:w="5765" w:type="dxa"/>
          </w:tcPr>
          <w:p w14:paraId="3A302D65">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54A554E">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6FB77477">
            <w:pPr>
              <w:pageBreakBefore w:val="0"/>
              <w:widowControl w:val="0"/>
              <w:kinsoku/>
              <w:wordWrap/>
              <w:overflowPunct/>
              <w:topLinePunct w:val="0"/>
              <w:autoSpaceDE/>
              <w:autoSpaceDN/>
              <w:bidi w:val="0"/>
              <w:adjustRightInd/>
              <w:snapToGrid/>
              <w:spacing w:after="0"/>
              <w:textAlignment w:val="auto"/>
              <w:rPr>
                <w:rFonts w:ascii="Arial"/>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8A636CC">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szCs w:val="21"/>
              </w:rPr>
            </w:pPr>
            <w:r>
              <w:rPr>
                <w:rFonts w:ascii="宋体" w:hAnsi="宋体" w:eastAsia="宋体" w:cs="宋体"/>
                <w:szCs w:val="21"/>
              </w:rPr>
              <w:t>2</w:t>
            </w:r>
          </w:p>
        </w:tc>
        <w:tc>
          <w:tcPr>
            <w:tcW w:w="5765" w:type="dxa"/>
          </w:tcPr>
          <w:p w14:paraId="5B911470">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7C9EED7">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48DCAC5C">
            <w:pPr>
              <w:pageBreakBefore w:val="0"/>
              <w:widowControl w:val="0"/>
              <w:kinsoku/>
              <w:wordWrap/>
              <w:overflowPunct/>
              <w:topLinePunct w:val="0"/>
              <w:autoSpaceDE/>
              <w:autoSpaceDN/>
              <w:bidi w:val="0"/>
              <w:adjustRightInd/>
              <w:snapToGrid/>
              <w:spacing w:after="0"/>
              <w:textAlignment w:val="auto"/>
              <w:rPr>
                <w:rFonts w:ascii="Arial"/>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pageBreakBefore w:val="0"/>
              <w:widowControl w:val="0"/>
              <w:kinsoku/>
              <w:wordWrap/>
              <w:overflowPunct/>
              <w:topLinePunct w:val="0"/>
              <w:autoSpaceDE/>
              <w:autoSpaceDN/>
              <w:bidi w:val="0"/>
              <w:adjustRightInd/>
              <w:snapToGrid/>
              <w:spacing w:after="0"/>
              <w:textAlignment w:val="auto"/>
              <w:rPr>
                <w:rFonts w:ascii="Arial"/>
              </w:rPr>
            </w:pPr>
          </w:p>
          <w:p w14:paraId="340735DF">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szCs w:val="21"/>
              </w:rPr>
            </w:pPr>
            <w:r>
              <w:rPr>
                <w:rFonts w:ascii="宋体" w:hAnsi="宋体" w:eastAsia="宋体" w:cs="宋体"/>
                <w:szCs w:val="21"/>
              </w:rPr>
              <w:t>3</w:t>
            </w:r>
          </w:p>
        </w:tc>
        <w:tc>
          <w:tcPr>
            <w:tcW w:w="5765" w:type="dxa"/>
          </w:tcPr>
          <w:p w14:paraId="13AA869A">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FFA8C94">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19EFB9F2">
            <w:pPr>
              <w:pageBreakBefore w:val="0"/>
              <w:widowControl w:val="0"/>
              <w:kinsoku/>
              <w:wordWrap/>
              <w:overflowPunct/>
              <w:topLinePunct w:val="0"/>
              <w:autoSpaceDE/>
              <w:autoSpaceDN/>
              <w:bidi w:val="0"/>
              <w:adjustRightInd/>
              <w:snapToGrid/>
              <w:spacing w:after="0"/>
              <w:textAlignment w:val="auto"/>
              <w:rPr>
                <w:rFonts w:ascii="Arial"/>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szCs w:val="21"/>
              </w:rPr>
            </w:pPr>
            <w:r>
              <w:rPr>
                <w:rFonts w:ascii="宋体" w:hAnsi="宋体" w:eastAsia="宋体" w:cs="宋体"/>
                <w:szCs w:val="21"/>
              </w:rPr>
              <w:t>4</w:t>
            </w:r>
          </w:p>
        </w:tc>
        <w:tc>
          <w:tcPr>
            <w:tcW w:w="5765" w:type="dxa"/>
          </w:tcPr>
          <w:p w14:paraId="74B094E3">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54CBC15">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5BD82F98">
            <w:pPr>
              <w:pageBreakBefore w:val="0"/>
              <w:widowControl w:val="0"/>
              <w:kinsoku/>
              <w:wordWrap/>
              <w:overflowPunct/>
              <w:topLinePunct w:val="0"/>
              <w:autoSpaceDE/>
              <w:autoSpaceDN/>
              <w:bidi w:val="0"/>
              <w:adjustRightInd/>
              <w:snapToGrid/>
              <w:spacing w:after="0"/>
              <w:textAlignment w:val="auto"/>
              <w:rPr>
                <w:rFonts w:ascii="Arial"/>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586C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55FE984">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8E3E66">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336DE9A">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0661E1">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05E19697">
      <w:pPr>
        <w:pageBreakBefore w:val="0"/>
        <w:widowControl w:val="0"/>
        <w:kinsoku/>
        <w:wordWrap/>
        <w:overflowPunct/>
        <w:topLinePunct w:val="0"/>
        <w:autoSpaceDE/>
        <w:autoSpaceDN/>
        <w:bidi w:val="0"/>
        <w:adjustRightInd/>
        <w:snapToGrid/>
        <w:spacing w:after="0" w:line="291" w:lineRule="auto"/>
        <w:textAlignment w:val="auto"/>
        <w:rPr>
          <w:rFonts w:ascii="Arial"/>
        </w:rPr>
      </w:pPr>
    </w:p>
    <w:p w14:paraId="3A5AD7BA">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A12CF3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A53AB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3CB4DDC">
      <w:pPr>
        <w:pStyle w:val="17"/>
        <w:pageBreakBefore w:val="0"/>
        <w:widowControl w:val="0"/>
        <w:kinsoku/>
        <w:wordWrap/>
        <w:overflowPunct/>
        <w:topLinePunct w:val="0"/>
        <w:autoSpaceDE/>
        <w:autoSpaceDN/>
        <w:bidi w:val="0"/>
        <w:adjustRightInd/>
        <w:snapToGrid/>
        <w:spacing w:after="0"/>
        <w:textAlignment w:val="auto"/>
      </w:pPr>
    </w:p>
    <w:p w14:paraId="1976CBAA">
      <w:pPr>
        <w:pStyle w:val="17"/>
        <w:pageBreakBefore w:val="0"/>
        <w:widowControl w:val="0"/>
        <w:kinsoku/>
        <w:wordWrap/>
        <w:overflowPunct/>
        <w:topLinePunct w:val="0"/>
        <w:autoSpaceDE/>
        <w:autoSpaceDN/>
        <w:bidi w:val="0"/>
        <w:adjustRightInd/>
        <w:snapToGrid/>
        <w:spacing w:after="0"/>
        <w:textAlignment w:val="auto"/>
      </w:pPr>
    </w:p>
    <w:p w14:paraId="7D6FEAF5">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Cs w:val="21"/>
        </w:rPr>
        <w:sectPr>
          <w:footerReference r:id="rId17" w:type="default"/>
          <w:pgSz w:w="16841" w:h="11907"/>
          <w:pgMar w:top="400" w:right="1699" w:bottom="1168" w:left="1481" w:header="0" w:footer="990" w:gutter="0"/>
          <w:pgNumType w:fmt="numberInDash"/>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995ADAB">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E344BEC">
      <w:pPr>
        <w:pageBreakBefore w:val="0"/>
        <w:kinsoku/>
        <w:wordWrap/>
        <w:overflowPunct/>
        <w:topLinePunct w:val="0"/>
        <w:autoSpaceDE/>
        <w:autoSpaceDN/>
        <w:bidi w:val="0"/>
        <w:spacing w:after="0"/>
        <w:rPr>
          <w:rFonts w:ascii="Calibri" w:hAnsi="Calibri" w:eastAsia="宋体" w:cs="Times New Roman"/>
          <w:szCs w:val="20"/>
        </w:rPr>
      </w:pPr>
    </w:p>
    <w:tbl>
      <w:tblPr>
        <w:tblStyle w:val="3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751453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53D86C4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11DEED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是否偏离</w:t>
            </w:r>
          </w:p>
          <w:p w14:paraId="3460D98B">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7B1366CF">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325C2025">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809D75">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D01C9C4">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78A643B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B84A9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r>
      <w:tr w14:paraId="3139CE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1351C12D">
            <w:pPr>
              <w:pageBreakBefore w:val="0"/>
              <w:kinsoku/>
              <w:wordWrap/>
              <w:overflowPunct/>
              <w:topLinePunct w:val="0"/>
              <w:autoSpaceDE/>
              <w:autoSpaceDN/>
              <w:bidi w:val="0"/>
              <w:spacing w:after="0"/>
              <w:jc w:val="center"/>
              <w:rPr>
                <w:rFonts w:hint="eastAsia" w:ascii="宋体" w:hAnsi="宋体" w:eastAsia="宋体" w:cs="宋体"/>
                <w:b/>
                <w:szCs w:val="20"/>
                <w:lang w:val="en-US" w:eastAsia="zh-CN"/>
              </w:rPr>
            </w:pPr>
            <w:r>
              <w:rPr>
                <w:rFonts w:hint="eastAsia" w:ascii="宋体" w:hAnsi="宋体" w:eastAsia="宋体" w:cs="宋体"/>
                <w:b/>
                <w:szCs w:val="20"/>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4DE440C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D4DC2EB">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377B23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C6DEAD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622" w:type="dxa"/>
            <w:tcBorders>
              <w:top w:val="single" w:color="auto" w:sz="4" w:space="0"/>
              <w:left w:val="single" w:color="auto" w:sz="4" w:space="0"/>
              <w:bottom w:val="single" w:color="auto" w:sz="4" w:space="0"/>
              <w:right w:val="single" w:color="auto" w:sz="4" w:space="0"/>
            </w:tcBorders>
          </w:tcPr>
          <w:p w14:paraId="0FD7ECA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99E0693">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6F1BA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032F46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5DD6F97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5D1FBE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3B87EF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67EAB0B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18AACDB">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0162CD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DC41C49">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7DFBF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388F65">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FE1ECE8">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794A6A9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6E88C7C">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262325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C30E28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A7043F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FEC478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680D5F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79E43D8">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5186D04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3BEFF780">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60770EE">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25ACA41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B20D12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5050FEC">
      <w:pPr>
        <w:pageBreakBefore w:val="0"/>
        <w:kinsoku/>
        <w:wordWrap/>
        <w:overflowPunct/>
        <w:topLinePunct w:val="0"/>
        <w:autoSpaceDE/>
        <w:autoSpaceDN/>
        <w:bidi w:val="0"/>
        <w:spacing w:after="0"/>
        <w:rPr>
          <w:rFonts w:ascii="宋体" w:hAnsi="Calibri" w:eastAsia="宋体" w:cs="Times New Roman"/>
          <w:szCs w:val="20"/>
        </w:rPr>
      </w:pPr>
    </w:p>
    <w:p w14:paraId="06591881">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4DEF86A">
      <w:pPr>
        <w:pageBreakBefore w:val="0"/>
        <w:kinsoku/>
        <w:wordWrap/>
        <w:overflowPunct/>
        <w:topLinePunct w:val="0"/>
        <w:autoSpaceDE/>
        <w:autoSpaceDN/>
        <w:bidi w:val="0"/>
        <w:spacing w:before="110" w:after="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ECDBFD">
      <w:pPr>
        <w:pageBreakBefore w:val="0"/>
        <w:kinsoku/>
        <w:wordWrap/>
        <w:overflowPunct/>
        <w:topLinePunct w:val="0"/>
        <w:autoSpaceDE/>
        <w:autoSpaceDN/>
        <w:bidi w:val="0"/>
        <w:spacing w:after="0" w:line="272" w:lineRule="auto"/>
        <w:rPr>
          <w:rFonts w:ascii="Arial"/>
        </w:rPr>
      </w:pPr>
    </w:p>
    <w:p w14:paraId="11C05ED1">
      <w:pPr>
        <w:pageBreakBefore w:val="0"/>
        <w:kinsoku/>
        <w:wordWrap/>
        <w:overflowPunct/>
        <w:topLinePunct w:val="0"/>
        <w:autoSpaceDE/>
        <w:autoSpaceDN/>
        <w:bidi w:val="0"/>
        <w:spacing w:before="75" w:after="0"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Times New Roman"/>
          <w:b/>
          <w:color w:val="000000"/>
          <w:sz w:val="24"/>
          <w:szCs w:val="24"/>
          <w:u w:val="single"/>
        </w:rPr>
        <w:t xml:space="preserve">            </w:t>
      </w:r>
    </w:p>
    <w:p w14:paraId="1C022C9A">
      <w:pPr>
        <w:pageBreakBefore w:val="0"/>
        <w:kinsoku/>
        <w:wordWrap/>
        <w:overflowPunct/>
        <w:topLinePunct w:val="0"/>
        <w:autoSpaceDE/>
        <w:autoSpaceDN/>
        <w:bidi w:val="0"/>
        <w:spacing w:before="306" w:after="0"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A75DE06">
      <w:pPr>
        <w:pageBreakBefore w:val="0"/>
        <w:kinsoku/>
        <w:wordWrap/>
        <w:overflowPunct/>
        <w:topLinePunct w:val="0"/>
        <w:autoSpaceDE/>
        <w:autoSpaceDN/>
        <w:bidi w:val="0"/>
        <w:spacing w:after="0"/>
      </w:pPr>
    </w:p>
    <w:p w14:paraId="36D349FF">
      <w:pPr>
        <w:pageBreakBefore w:val="0"/>
        <w:kinsoku/>
        <w:wordWrap/>
        <w:overflowPunct/>
        <w:topLinePunct w:val="0"/>
        <w:autoSpaceDE/>
        <w:autoSpaceDN/>
        <w:bidi w:val="0"/>
        <w:spacing w:after="0" w:line="109" w:lineRule="exact"/>
      </w:pPr>
    </w:p>
    <w:tbl>
      <w:tblPr>
        <w:tblStyle w:val="135"/>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pageBreakBefore w:val="0"/>
              <w:kinsoku/>
              <w:wordWrap/>
              <w:overflowPunct/>
              <w:topLinePunct w:val="0"/>
              <w:autoSpaceDE/>
              <w:autoSpaceDN/>
              <w:bidi w:val="0"/>
              <w:spacing w:before="52" w:after="0"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FFDA4B2">
            <w:pPr>
              <w:pageBreakBefore w:val="0"/>
              <w:kinsoku/>
              <w:wordWrap/>
              <w:overflowPunct/>
              <w:topLinePunct w:val="0"/>
              <w:autoSpaceDE/>
              <w:autoSpaceDN/>
              <w:bidi w:val="0"/>
              <w:spacing w:before="48" w:after="0"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D1BF7C6">
      <w:pPr>
        <w:keepNext/>
        <w:keepLines/>
        <w:pageBreakBefore w:val="0"/>
        <w:kinsoku/>
        <w:wordWrap/>
        <w:overflowPunct/>
        <w:topLinePunct w:val="0"/>
        <w:autoSpaceDE/>
        <w:autoSpaceDN/>
        <w:bidi w:val="0"/>
        <w:spacing w:after="0"/>
        <w:rPr>
          <w:rFonts w:ascii="Times New Roman" w:hAnsi="Times New Roman" w:eastAsia="宋体" w:cs="Times New Roman"/>
          <w:b/>
          <w:bCs/>
          <w:color w:val="000000"/>
          <w:sz w:val="24"/>
          <w:szCs w:val="24"/>
        </w:rPr>
      </w:pPr>
    </w:p>
    <w:p w14:paraId="34FD54A0">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75A454F7">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58CE7B3D">
      <w:pPr>
        <w:pageBreakBefore w:val="0"/>
        <w:kinsoku/>
        <w:wordWrap/>
        <w:overflowPunct/>
        <w:topLinePunct w:val="0"/>
        <w:autoSpaceDE/>
        <w:autoSpaceDN/>
        <w:bidi w:val="0"/>
        <w:spacing w:before="75" w:after="0" w:line="227" w:lineRule="auto"/>
        <w:ind w:left="135"/>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C1AED88">
      <w:pPr>
        <w:rPr>
          <w:rFonts w:hint="eastAsia" w:ascii="宋体" w:hAnsi="宋体" w:eastAsia="宋体" w:cs="宋体"/>
          <w:sz w:val="24"/>
          <w:szCs w:val="24"/>
        </w:rPr>
      </w:pPr>
      <w:r>
        <w:rPr>
          <w:rFonts w:hint="eastAsia" w:ascii="宋体" w:hAnsi="宋体" w:eastAsia="宋体" w:cs="宋体"/>
          <w:sz w:val="24"/>
          <w:szCs w:val="24"/>
        </w:rPr>
        <w:br w:type="page"/>
      </w:r>
    </w:p>
    <w:p w14:paraId="42176D55">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pageBreakBefore w:val="0"/>
        <w:kinsoku/>
        <w:wordWrap/>
        <w:overflowPunct/>
        <w:topLinePunct w:val="0"/>
        <w:autoSpaceDE/>
        <w:autoSpaceDN/>
        <w:bidi w:val="0"/>
        <w:spacing w:after="0" w:line="240" w:lineRule="exact"/>
        <w:jc w:val="center"/>
        <w:rPr>
          <w:rFonts w:ascii="宋体" w:hAnsi="Calibri" w:eastAsia="宋体" w:cs="Times New Roman"/>
          <w:b/>
          <w:bCs/>
          <w:sz w:val="36"/>
          <w:szCs w:val="20"/>
        </w:rPr>
      </w:pPr>
    </w:p>
    <w:p w14:paraId="40AFAD5F">
      <w:pPr>
        <w:pageBreakBefore w:val="0"/>
        <w:kinsoku/>
        <w:wordWrap/>
        <w:overflowPunct/>
        <w:topLinePunct w:val="0"/>
        <w:autoSpaceDE/>
        <w:autoSpaceDN/>
        <w:bidi w:val="0"/>
        <w:spacing w:after="0"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2E9AF4D2">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9AEF7EE">
      <w:pPr>
        <w:pageBreakBefore w:val="0"/>
        <w:kinsoku/>
        <w:wordWrap/>
        <w:overflowPunct/>
        <w:topLinePunct w:val="0"/>
        <w:autoSpaceDE/>
        <w:autoSpaceDN/>
        <w:bidi w:val="0"/>
        <w:spacing w:after="0"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p>
    <w:p w14:paraId="24DFB37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pageBreakBefore w:val="0"/>
        <w:kinsoku/>
        <w:wordWrap/>
        <w:overflowPunct/>
        <w:topLinePunct w:val="0"/>
        <w:autoSpaceDE/>
        <w:autoSpaceDN/>
        <w:bidi w:val="0"/>
        <w:spacing w:after="0"/>
        <w:rPr>
          <w:rFonts w:ascii="宋体" w:hAnsi="Calibri" w:eastAsia="宋体" w:cs="宋体"/>
          <w:b/>
          <w:bCs/>
          <w:color w:val="000000"/>
          <w:sz w:val="28"/>
          <w:szCs w:val="20"/>
        </w:rPr>
      </w:pPr>
    </w:p>
    <w:p w14:paraId="3142B742">
      <w:pPr>
        <w:pStyle w:val="17"/>
        <w:pageBreakBefore w:val="0"/>
        <w:kinsoku/>
        <w:wordWrap/>
        <w:overflowPunct/>
        <w:topLinePunct w:val="0"/>
        <w:autoSpaceDE/>
        <w:autoSpaceDN/>
        <w:bidi w:val="0"/>
        <w:spacing w:after="0"/>
        <w:rPr>
          <w:rFonts w:hAnsi="Calibri" w:eastAsia="宋体" w:cs="宋体"/>
          <w:b/>
          <w:bCs/>
          <w:color w:val="000000"/>
          <w:sz w:val="28"/>
          <w:szCs w:val="20"/>
        </w:rPr>
      </w:pPr>
    </w:p>
    <w:p w14:paraId="677D2A47">
      <w:pPr>
        <w:pageBreakBefore w:val="0"/>
        <w:kinsoku/>
        <w:wordWrap/>
        <w:overflowPunct/>
        <w:topLinePunct w:val="0"/>
        <w:autoSpaceDE/>
        <w:autoSpaceDN/>
        <w:bidi w:val="0"/>
        <w:spacing w:after="0"/>
        <w:rPr>
          <w:rFonts w:ascii="宋体" w:hAnsi="Calibri" w:eastAsia="宋体" w:cs="宋体"/>
          <w:b/>
          <w:bCs/>
          <w:color w:val="000000"/>
          <w:sz w:val="28"/>
          <w:szCs w:val="20"/>
        </w:rPr>
      </w:pPr>
    </w:p>
    <w:p w14:paraId="47CBD4B0">
      <w:pPr>
        <w:pageBreakBefore w:val="0"/>
        <w:kinsoku/>
        <w:wordWrap/>
        <w:overflowPunct/>
        <w:topLinePunct w:val="0"/>
        <w:autoSpaceDE/>
        <w:autoSpaceDN/>
        <w:bidi w:val="0"/>
        <w:spacing w:after="0"/>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1AB372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142892E5">
            <w:pPr>
              <w:pageBreakBefore w:val="0"/>
              <w:kinsoku/>
              <w:wordWrap/>
              <w:overflowPunct/>
              <w:topLinePunct w:val="0"/>
              <w:autoSpaceDE/>
              <w:autoSpaceDN/>
              <w:bidi w:val="0"/>
              <w:spacing w:after="0"/>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3981662">
            <w:pPr>
              <w:pageBreakBefore w:val="0"/>
              <w:kinsoku/>
              <w:wordWrap/>
              <w:overflowPunct/>
              <w:topLinePunct w:val="0"/>
              <w:autoSpaceDE/>
              <w:autoSpaceDN/>
              <w:bidi w:val="0"/>
              <w:spacing w:after="0"/>
              <w:rPr>
                <w:rFonts w:ascii="Times New Roman" w:hAnsi="Times New Roman" w:eastAsia="等线" w:cs="Times New Roman"/>
                <w:b/>
                <w:sz w:val="30"/>
                <w:szCs w:val="30"/>
              </w:rPr>
            </w:pPr>
          </w:p>
          <w:p w14:paraId="2C9F9A79">
            <w:pPr>
              <w:pageBreakBefore w:val="0"/>
              <w:kinsoku/>
              <w:wordWrap/>
              <w:overflowPunct/>
              <w:topLinePunct w:val="0"/>
              <w:autoSpaceDE/>
              <w:autoSpaceDN/>
              <w:bidi w:val="0"/>
              <w:spacing w:after="0"/>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highlight w:val="none"/>
                <w:lang w:val="en-US" w:eastAsia="zh-CN"/>
              </w:rPr>
              <w:t>/</w:t>
            </w:r>
            <w:r>
              <w:rPr>
                <w:rFonts w:ascii="等线" w:hAnsi="等线" w:eastAsia="等线" w:cs="Times New Roman"/>
                <w:b/>
                <w:sz w:val="30"/>
                <w:szCs w:val="30"/>
                <w:highlight w:val="none"/>
                <w:u w:val="single"/>
              </w:rPr>
              <w:t xml:space="preserve"> </w:t>
            </w:r>
            <w:r>
              <w:rPr>
                <w:rFonts w:hint="eastAsia" w:ascii="等线" w:hAnsi="等线" w:eastAsia="等线" w:cs="Times New Roman"/>
                <w:b/>
                <w:sz w:val="30"/>
                <w:szCs w:val="30"/>
                <w:highlight w:val="none"/>
                <w:u w:val="single"/>
                <w:lang w:val="en-US" w:eastAsia="zh-CN"/>
              </w:rPr>
              <w:t>4</w:t>
            </w:r>
            <w:r>
              <w:rPr>
                <w:rFonts w:ascii="等线" w:hAnsi="等线" w:eastAsia="等线" w:cs="Times New Roman"/>
                <w:b/>
                <w:sz w:val="30"/>
                <w:szCs w:val="30"/>
                <w:highlight w:val="none"/>
                <w:u w:val="single"/>
              </w:rPr>
              <w:t xml:space="preserve"> </w:t>
            </w:r>
            <w:r>
              <w:rPr>
                <w:rFonts w:hint="eastAsia" w:ascii="宋体" w:hAnsi="宋体" w:eastAsia="宋体" w:cs="宋体"/>
                <w:b/>
                <w:sz w:val="30"/>
                <w:szCs w:val="30"/>
                <w:highlight w:val="none"/>
              </w:rPr>
              <w:t>副本）</w:t>
            </w:r>
          </w:p>
          <w:p w14:paraId="01F5EAF4">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524341B2">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793C2633">
            <w:pPr>
              <w:pageBreakBefore w:val="0"/>
              <w:kinsoku/>
              <w:wordWrap/>
              <w:overflowPunct/>
              <w:topLinePunct w:val="0"/>
              <w:autoSpaceDE/>
              <w:autoSpaceDN/>
              <w:bidi w:val="0"/>
              <w:spacing w:after="0"/>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p>
          <w:p w14:paraId="13926FE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3DB069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地址：</w:t>
            </w:r>
          </w:p>
          <w:p w14:paraId="3498D8B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授权代表电话：</w:t>
            </w:r>
          </w:p>
          <w:p w14:paraId="66BF137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传真：</w:t>
            </w:r>
          </w:p>
          <w:p w14:paraId="4B598E8C">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45BE690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4D9C60D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33B44A4">
      <w:pPr>
        <w:pStyle w:val="17"/>
        <w:pageBreakBefore w:val="0"/>
        <w:kinsoku/>
        <w:wordWrap/>
        <w:overflowPunct/>
        <w:topLinePunct w:val="0"/>
        <w:autoSpaceDE/>
        <w:autoSpaceDN/>
        <w:bidi w:val="0"/>
        <w:spacing w:after="0"/>
      </w:pPr>
    </w:p>
    <w:p w14:paraId="13C4EDB8">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04E070C9">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31537755">
      <w:pPr>
        <w:pageBreakBefore w:val="0"/>
        <w:kinsoku/>
        <w:wordWrap/>
        <w:overflowPunct/>
        <w:topLinePunct w:val="0"/>
        <w:autoSpaceDE/>
        <w:autoSpaceDN/>
        <w:bidi w:val="0"/>
        <w:spacing w:after="0"/>
        <w:sectPr>
          <w:headerReference r:id="rId18" w:type="first"/>
          <w:footerReference r:id="rId20" w:type="first"/>
          <w:footerReference r:id="rId19" w:type="default"/>
          <w:pgSz w:w="11906" w:h="16838"/>
          <w:pgMar w:top="1588" w:right="1418" w:bottom="1134" w:left="1418" w:header="851" w:footer="992" w:gutter="0"/>
          <w:pgNumType w:fmt="numberInDash"/>
          <w:cols w:space="720" w:num="1"/>
          <w:titlePg/>
          <w:docGrid w:type="lines" w:linePitch="312" w:charSpace="0"/>
        </w:sectPr>
      </w:pPr>
    </w:p>
    <w:p w14:paraId="6F222FE8">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lang w:val="en-US" w:eastAsia="zh-CN"/>
        </w:rPr>
        <w:t>技术要求承诺书</w:t>
      </w:r>
    </w:p>
    <w:p w14:paraId="3904A8E4">
      <w:pPr>
        <w:pageBreakBefore w:val="0"/>
        <w:kinsoku/>
        <w:wordWrap/>
        <w:overflowPunct/>
        <w:topLinePunct w:val="0"/>
        <w:autoSpaceDE/>
        <w:autoSpaceDN/>
        <w:bidi w:val="0"/>
        <w:spacing w:after="0" w:line="360" w:lineRule="auto"/>
        <w:rPr>
          <w:rFonts w:hint="eastAsia" w:ascii="宋体" w:hAnsi="Calibri" w:eastAsia="宋体" w:cs="Times New Roman"/>
          <w:sz w:val="24"/>
          <w:szCs w:val="20"/>
          <w:u w:val="single"/>
          <w:lang w:eastAsia="zh-CN"/>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5103D175">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p>
    <w:p w14:paraId="4DF9E1C6">
      <w:pPr>
        <w:pageBreakBefore w:val="0"/>
        <w:kinsoku/>
        <w:wordWrap/>
        <w:overflowPunct/>
        <w:topLinePunct w:val="0"/>
        <w:autoSpaceDE/>
        <w:autoSpaceDN/>
        <w:bidi w:val="0"/>
        <w:spacing w:after="0"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rPr>
        <w:t>（投标单位名称）</w:t>
      </w:r>
      <w:r>
        <w:rPr>
          <w:rFonts w:hint="eastAsia" w:ascii="宋体" w:hAnsi="宋体" w:eastAsia="宋体" w:cs="Times New Roman"/>
          <w:sz w:val="24"/>
          <w:szCs w:val="20"/>
        </w:rPr>
        <w:t>对中标合同产品的服务作如下承诺：</w:t>
      </w:r>
    </w:p>
    <w:p w14:paraId="47736DB8">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sz w:val="24"/>
          <w:szCs w:val="24"/>
          <w:lang w:val="en-US" w:eastAsia="zh-CN"/>
        </w:rPr>
      </w:pPr>
      <w:r>
        <w:rPr>
          <w:rFonts w:hint="eastAsia"/>
          <w:sz w:val="24"/>
          <w:szCs w:val="24"/>
          <w:lang w:val="en-US" w:eastAsia="zh-CN"/>
        </w:rPr>
        <w:t>我司提供的产品完全相应并满足本次项目招标文件的技术要求。</w:t>
      </w:r>
    </w:p>
    <w:p w14:paraId="67A0CCB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pageBreakBefore w:val="0"/>
        <w:tabs>
          <w:tab w:val="right" w:leader="dot" w:pos="9061"/>
        </w:tabs>
        <w:kinsoku/>
        <w:wordWrap/>
        <w:overflowPunct/>
        <w:topLinePunct w:val="0"/>
        <w:autoSpaceDE/>
        <w:autoSpaceDN/>
        <w:bidi w:val="0"/>
        <w:spacing w:after="0"/>
      </w:pPr>
    </w:p>
    <w:p w14:paraId="47CD582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B9CA3D1">
      <w:pPr>
        <w:pageBreakBefore w:val="0"/>
        <w:kinsoku/>
        <w:wordWrap/>
        <w:overflowPunct/>
        <w:topLinePunct w:val="0"/>
        <w:autoSpaceDE/>
        <w:autoSpaceDN/>
        <w:bidi w:val="0"/>
        <w:spacing w:after="0"/>
        <w:sectPr>
          <w:pgSz w:w="11906" w:h="16838"/>
          <w:pgMar w:top="1587" w:right="1417" w:bottom="1134" w:left="1417" w:header="850" w:footer="992" w:gutter="0"/>
          <w:pgNumType w:fmt="numberInDash"/>
          <w:cols w:space="0" w:num="1"/>
          <w:titlePg/>
          <w:docGrid w:type="lines" w:linePitch="324" w:charSpace="0"/>
        </w:sectPr>
      </w:pPr>
    </w:p>
    <w:p w14:paraId="67164DC8">
      <w:pPr>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14:paraId="5E39ACE7">
      <w:pPr>
        <w:pageBreakBefore w:val="0"/>
        <w:kinsoku/>
        <w:wordWrap/>
        <w:overflowPunct/>
        <w:topLinePunct w:val="0"/>
        <w:autoSpaceDE/>
        <w:autoSpaceDN/>
        <w:bidi w:val="0"/>
        <w:spacing w:after="0"/>
        <w:jc w:val="center"/>
        <w:outlineLvl w:val="2"/>
        <w:rPr>
          <w:rFonts w:ascii="宋体" w:hAnsi="宋体" w:eastAsia="宋体"/>
          <w:b/>
          <w:bCs/>
          <w:sz w:val="28"/>
          <w:szCs w:val="28"/>
        </w:rPr>
      </w:pPr>
      <w:r>
        <w:rPr>
          <w:rFonts w:hint="eastAsia" w:ascii="宋体" w:hAnsi="宋体" w:eastAsia="宋体"/>
          <w:b/>
          <w:bCs/>
          <w:sz w:val="28"/>
          <w:szCs w:val="28"/>
        </w:rPr>
        <w:t>技术标评审表（</w:t>
      </w:r>
      <w:r>
        <w:rPr>
          <w:rFonts w:hint="eastAsia" w:ascii="宋体" w:hAnsi="宋体" w:eastAsia="宋体"/>
          <w:b/>
          <w:bCs/>
          <w:sz w:val="28"/>
          <w:szCs w:val="28"/>
          <w:lang w:val="en-US" w:eastAsia="zh-CN"/>
        </w:rPr>
        <w:t>10</w:t>
      </w:r>
      <w:r>
        <w:rPr>
          <w:rFonts w:hint="eastAsia" w:ascii="宋体" w:hAnsi="宋体" w:eastAsia="宋体"/>
          <w:b/>
          <w:bCs/>
          <w:sz w:val="28"/>
          <w:szCs w:val="28"/>
        </w:rPr>
        <w:t>0分）</w:t>
      </w:r>
    </w:p>
    <w:tbl>
      <w:tblPr>
        <w:tblStyle w:val="38"/>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345096FB">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6C1CB77">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C05C5E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6223464">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000000"/>
                <w:kern w:val="2"/>
                <w:sz w:val="21"/>
                <w:szCs w:val="21"/>
                <w:lang w:val="en-US" w:eastAsia="zh-CN" w:bidi="ar-SA"/>
              </w:rPr>
            </w:pPr>
            <w:r>
              <w:rPr>
                <w:rStyle w:val="140"/>
                <w:rFonts w:hint="default"/>
                <w:spacing w:val="315"/>
                <w:kern w:val="0"/>
                <w:fitText w:val="1050" w:id="2022511805"/>
                <w:lang w:bidi="ar"/>
              </w:rPr>
              <w:t>内</w:t>
            </w:r>
            <w:r>
              <w:rPr>
                <w:rStyle w:val="140"/>
                <w:rFonts w:hint="default"/>
                <w:spacing w:val="0"/>
                <w:kern w:val="0"/>
                <w:fitText w:val="1050" w:id="2022511805"/>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297D05E">
            <w:pPr>
              <w:pageBreakBefore w:val="0"/>
              <w:widowControl/>
              <w:kinsoku/>
              <w:wordWrap/>
              <w:overflowPunct/>
              <w:topLinePunct w:val="0"/>
              <w:autoSpaceDE/>
              <w:autoSpaceDN/>
              <w:bidi w:val="0"/>
              <w:spacing w:after="0"/>
              <w:jc w:val="center"/>
              <w:textAlignment w:val="center"/>
              <w:rPr>
                <w:rStyle w:val="140"/>
                <w:rFonts w:hint="eastAsia" w:eastAsia="宋体"/>
                <w:lang w:val="en-US" w:eastAsia="zh-CN" w:bidi="ar"/>
              </w:rPr>
            </w:pPr>
            <w:r>
              <w:rPr>
                <w:rStyle w:val="140"/>
                <w:rFonts w:hint="eastAsia" w:eastAsia="宋体"/>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2F10D5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评分标准</w:t>
            </w:r>
          </w:p>
        </w:tc>
      </w:tr>
      <w:tr w14:paraId="66BC5D88">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31B977C3">
            <w:pPr>
              <w:pStyle w:val="10"/>
              <w:spacing w:after="0" w:line="340" w:lineRule="exact"/>
              <w:jc w:val="center"/>
              <w:rPr>
                <w:rFonts w:ascii="宋体" w:hAnsi="宋体" w:eastAsia="宋体" w:cs="宋体"/>
                <w:color w:val="000000"/>
                <w:szCs w:val="21"/>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EE226">
            <w:pPr>
              <w:pageBreakBefore w:val="0"/>
              <w:widowControl/>
              <w:kinsoku/>
              <w:wordWrap/>
              <w:overflowPunct/>
              <w:topLinePunct w:val="0"/>
              <w:autoSpaceDE/>
              <w:autoSpaceDN/>
              <w:bidi w:val="0"/>
              <w:spacing w:after="0"/>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0903">
            <w:pPr>
              <w:pStyle w:val="10"/>
              <w:spacing w:after="0" w:line="32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271C">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B1C0C">
            <w:pPr>
              <w:pStyle w:val="10"/>
              <w:spacing w:after="0" w:line="32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274CF4DC">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0DE299C8">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FD002">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8F04">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A96B">
            <w:pPr>
              <w:spacing w:line="440" w:lineRule="exact"/>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E334FA">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9AA8FD0">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48C7E36C">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3245B">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B4EE">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E5EF6">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C479A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0BC54098">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5BCBD399">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D96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BA87">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84EE">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B63323">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60FE1E4B">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7A24A177">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387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BDDC">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F9C3">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317B2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0CA3D3AC">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评标过程中必须确保推荐的入围候选中标人，在功能、质量、先进性、业绩等方面均符合招标标准要求。</w:t>
      </w:r>
    </w:p>
    <w:p w14:paraId="755B50CE">
      <w:pPr>
        <w:pageBreakBefore w:val="0"/>
        <w:kinsoku/>
        <w:wordWrap/>
        <w:overflowPunct/>
        <w:topLinePunct w:val="0"/>
        <w:autoSpaceDE/>
        <w:autoSpaceDN/>
        <w:bidi w:val="0"/>
        <w:spacing w:after="0" w:line="24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406074D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04D17F3A">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E04EE08">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p>
    <w:p w14:paraId="774A3460">
      <w:pPr>
        <w:pageBreakBefore w:val="0"/>
        <w:kinsoku/>
        <w:wordWrap/>
        <w:overflowPunct/>
        <w:topLinePunct w:val="0"/>
        <w:autoSpaceDE/>
        <w:autoSpaceDN/>
        <w:bidi w:val="0"/>
        <w:spacing w:after="0"/>
      </w:pPr>
    </w:p>
    <w:p w14:paraId="5267ACD6">
      <w:pPr>
        <w:pageBreakBefore w:val="0"/>
        <w:kinsoku/>
        <w:wordWrap/>
        <w:overflowPunct/>
        <w:topLinePunct w:val="0"/>
        <w:autoSpaceDE/>
        <w:autoSpaceDN/>
        <w:bidi w:val="0"/>
        <w:spacing w:after="0"/>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6AD07233">
      <w:pPr>
        <w:pStyle w:val="17"/>
        <w:pageBreakBefore w:val="0"/>
        <w:kinsoku/>
        <w:wordWrap/>
        <w:overflowPunct/>
        <w:topLinePunct w:val="0"/>
        <w:autoSpaceDE/>
        <w:autoSpaceDN/>
        <w:bidi w:val="0"/>
        <w:spacing w:after="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59B9F5A1">
      <w:pPr>
        <w:pStyle w:val="17"/>
        <w:pageBreakBefore w:val="0"/>
        <w:kinsoku/>
        <w:wordWrap/>
        <w:overflowPunct/>
        <w:topLinePunct w:val="0"/>
        <w:autoSpaceDE/>
        <w:autoSpaceDN/>
        <w:bidi w:val="0"/>
        <w:spacing w:after="0"/>
        <w:rPr>
          <w:rFonts w:eastAsia="宋体"/>
        </w:rPr>
      </w:pPr>
    </w:p>
    <w:p w14:paraId="4E10F8EE">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pageBreakBefore w:val="0"/>
        <w:kinsoku/>
        <w:wordWrap/>
        <w:overflowPunct/>
        <w:topLinePunct w:val="0"/>
        <w:autoSpaceDE/>
        <w:autoSpaceDN/>
        <w:bidi w:val="0"/>
        <w:snapToGrid w:val="0"/>
        <w:spacing w:after="0" w:line="312" w:lineRule="auto"/>
      </w:pPr>
      <w: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933377"/>
                    </a:xfrm>
                    <a:prstGeom prst="rect">
                      <a:avLst/>
                    </a:prstGeom>
                  </pic:spPr>
                </pic:pic>
              </a:graphicData>
            </a:graphic>
          </wp:inline>
        </w:drawing>
      </w:r>
    </w:p>
    <w:p w14:paraId="51B83E57">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pageBreakBefore w:val="0"/>
        <w:kinsoku/>
        <w:wordWrap/>
        <w:overflowPunct/>
        <w:topLinePunct w:val="0"/>
        <w:autoSpaceDE/>
        <w:autoSpaceDN/>
        <w:bidi w:val="0"/>
        <w:snapToGrid w:val="0"/>
        <w:spacing w:after="0" w:line="312" w:lineRule="auto"/>
      </w:pPr>
      <w: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766707"/>
                    </a:xfrm>
                    <a:prstGeom prst="rect">
                      <a:avLst/>
                    </a:prstGeom>
                  </pic:spPr>
                </pic:pic>
              </a:graphicData>
            </a:graphic>
          </wp:inline>
        </w:drawing>
      </w:r>
    </w:p>
    <w:p w14:paraId="3B081EB6">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pageBreakBefore w:val="0"/>
        <w:kinsoku/>
        <w:wordWrap/>
        <w:overflowPunct/>
        <w:topLinePunct w:val="0"/>
        <w:autoSpaceDE/>
        <w:autoSpaceDN/>
        <w:bidi w:val="0"/>
        <w:snapToGrid w:val="0"/>
        <w:spacing w:after="0" w:line="312" w:lineRule="auto"/>
      </w:pPr>
      <w: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760085" cy="2870054"/>
                    </a:xfrm>
                    <a:prstGeom prst="rect">
                      <a:avLst/>
                    </a:prstGeom>
                  </pic:spPr>
                </pic:pic>
              </a:graphicData>
            </a:graphic>
          </wp:inline>
        </w:drawing>
      </w:r>
    </w:p>
    <w:p w14:paraId="23C53DA1">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pageBreakBefore w:val="0"/>
        <w:kinsoku/>
        <w:wordWrap/>
        <w:overflowPunct/>
        <w:topLinePunct w:val="0"/>
        <w:autoSpaceDE/>
        <w:autoSpaceDN/>
        <w:bidi w:val="0"/>
        <w:snapToGrid w:val="0"/>
        <w:spacing w:after="0" w:line="312" w:lineRule="auto"/>
      </w:pPr>
      <w: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760085" cy="2853375"/>
                    </a:xfrm>
                    <a:prstGeom prst="rect">
                      <a:avLst/>
                    </a:prstGeom>
                  </pic:spPr>
                </pic:pic>
              </a:graphicData>
            </a:graphic>
          </wp:inline>
        </w:drawing>
      </w:r>
    </w:p>
    <w:p w14:paraId="2AAFA905">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FF3DE23">
      <w:pPr>
        <w:pStyle w:val="17"/>
        <w:pageBreakBefore w:val="0"/>
        <w:kinsoku/>
        <w:wordWrap/>
        <w:overflowPunct/>
        <w:topLinePunct w:val="0"/>
        <w:autoSpaceDE/>
        <w:autoSpaceDN/>
        <w:bidi w:val="0"/>
        <w:spacing w:after="0"/>
      </w:pPr>
    </w:p>
    <w:p w14:paraId="399DBCD5">
      <w:pPr>
        <w:pageBreakBefore w:val="0"/>
        <w:kinsoku/>
        <w:wordWrap/>
        <w:overflowPunct/>
        <w:topLinePunct w:val="0"/>
        <w:autoSpaceDE/>
        <w:autoSpaceDN/>
        <w:bidi w:val="0"/>
        <w:spacing w:after="0"/>
      </w:pPr>
      <w: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760085" cy="2810122"/>
                    </a:xfrm>
                    <a:prstGeom prst="rect">
                      <a:avLst/>
                    </a:prstGeom>
                  </pic:spPr>
                </pic:pic>
              </a:graphicData>
            </a:graphic>
          </wp:inline>
        </w:drawing>
      </w:r>
    </w:p>
    <w:p w14:paraId="7362023B">
      <w:pPr>
        <w:pStyle w:val="17"/>
        <w:pageBreakBefore w:val="0"/>
        <w:kinsoku/>
        <w:wordWrap/>
        <w:overflowPunct/>
        <w:topLinePunct w:val="0"/>
        <w:autoSpaceDE/>
        <w:autoSpaceDN/>
        <w:bidi w:val="0"/>
        <w:spacing w:after="0"/>
      </w:pPr>
      <w: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2820042"/>
                    </a:xfrm>
                    <a:prstGeom prst="rect">
                      <a:avLst/>
                    </a:prstGeom>
                  </pic:spPr>
                </pic:pic>
              </a:graphicData>
            </a:graphic>
          </wp:inline>
        </w:drawing>
      </w:r>
    </w:p>
    <w:p w14:paraId="11FC7CE2">
      <w:pPr>
        <w:pStyle w:val="17"/>
        <w:pageBreakBefore w:val="0"/>
        <w:kinsoku/>
        <w:wordWrap/>
        <w:overflowPunct/>
        <w:topLinePunct w:val="0"/>
        <w:autoSpaceDE/>
        <w:autoSpaceDN/>
        <w:bidi w:val="0"/>
        <w:spacing w:after="0"/>
      </w:pPr>
    </w:p>
    <w:p w14:paraId="1E4FAFDD">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17"/>
        <w:pageBreakBefore w:val="0"/>
        <w:kinsoku/>
        <w:wordWrap/>
        <w:overflowPunct/>
        <w:topLinePunct w:val="0"/>
        <w:autoSpaceDE/>
        <w:autoSpaceDN/>
        <w:bidi w:val="0"/>
        <w:spacing w:after="0"/>
      </w:pPr>
      <w:r>
        <w:rPr>
          <w:rFonts w:hint="eastAsia" w:hAnsi="宋体" w:eastAsia="宋体" w:cs="宋体"/>
          <w:b/>
          <w:bCs/>
          <w:color w:val="000000"/>
          <w:sz w:val="24"/>
          <w:szCs w:val="28"/>
        </w:rPr>
        <w:t>2.配套能力“供货类别”填“工艺装备”，业务主管部门选择“工艺工匠研究院”。</w:t>
      </w:r>
    </w:p>
    <w:p w14:paraId="168F610B">
      <w:pPr>
        <w:pStyle w:val="17"/>
        <w:pageBreakBefore w:val="0"/>
        <w:kinsoku/>
        <w:wordWrap/>
        <w:overflowPunct/>
        <w:topLinePunct w:val="0"/>
        <w:autoSpaceDE/>
        <w:autoSpaceDN/>
        <w:bidi w:val="0"/>
        <w:spacing w:after="0"/>
        <w:sectPr>
          <w:pgSz w:w="11906" w:h="16838"/>
          <w:pgMar w:top="1588" w:right="1418" w:bottom="1134" w:left="1418" w:header="851" w:footer="992" w:gutter="0"/>
          <w:pgNumType w:fmt="numberInDash"/>
          <w:cols w:space="720" w:num="1"/>
          <w:titlePg/>
          <w:docGrid w:type="lines" w:linePitch="312" w:charSpace="0"/>
        </w:sectPr>
      </w:pPr>
    </w:p>
    <w:p w14:paraId="158AA682">
      <w:pPr>
        <w:pStyle w:val="17"/>
        <w:pageBreakBefore w:val="0"/>
        <w:kinsoku/>
        <w:wordWrap/>
        <w:overflowPunct/>
        <w:topLinePunct w:val="0"/>
        <w:autoSpaceDE/>
        <w:autoSpaceDN/>
        <w:bidi w:val="0"/>
        <w:spacing w:after="0"/>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032295F5">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cs="宋体"/>
          <w:sz w:val="24"/>
          <w:szCs w:val="24"/>
        </w:rPr>
        <w:t>http</w:t>
      </w:r>
      <w:r>
        <w:rPr>
          <w:rStyle w:val="46"/>
          <w:rFonts w:hint="eastAsia" w:ascii="宋体" w:hAnsi="宋体" w:eastAsia="宋体" w:cs="宋体"/>
          <w:sz w:val="24"/>
          <w:szCs w:val="24"/>
          <w:lang w:val="en-US" w:eastAsia="zh-CN"/>
        </w:rPr>
        <w:t>s</w:t>
      </w:r>
      <w:r>
        <w:rPr>
          <w:rStyle w:val="46"/>
          <w:rFonts w:hint="eastAsia" w:ascii="宋体" w:hAnsi="宋体" w:eastAsia="宋体" w:cs="宋体"/>
          <w:sz w:val="24"/>
          <w:szCs w:val="24"/>
        </w:rPr>
        <w:t>://ecaitong.sinotruk.com:8012/</w:t>
      </w:r>
      <w:r>
        <w:rPr>
          <w:rStyle w:val="46"/>
          <w:rFonts w:hint="eastAsia" w:ascii="宋体" w:hAnsi="宋体" w:eastAsia="宋体" w:cs="宋体"/>
          <w:sz w:val="24"/>
          <w:szCs w:val="24"/>
        </w:rPr>
        <w:fldChar w:fldCharType="end"/>
      </w:r>
    </w:p>
    <w:p w14:paraId="60DF8B7A">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AF6BF5B">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717F673">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pageBreakBefore w:val="0"/>
        <w:kinsoku/>
        <w:wordWrap/>
        <w:overflowPunct/>
        <w:topLinePunct w:val="0"/>
        <w:autoSpaceDE/>
        <w:autoSpaceDN/>
        <w:bidi w:val="0"/>
        <w:spacing w:after="0"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pPr>
        <w:pageBreakBefore w:val="0"/>
        <w:kinsoku/>
        <w:wordWrap/>
        <w:overflowPunct/>
        <w:topLinePunct w:val="0"/>
        <w:autoSpaceDE/>
        <w:autoSpaceDN/>
        <w:bidi w:val="0"/>
        <w:spacing w:after="0"/>
      </w:pPr>
      <w: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5"/>
                    <a:stretch>
                      <a:fillRect/>
                    </a:stretch>
                  </pic:blipFill>
                  <pic:spPr>
                    <a:xfrm>
                      <a:off x="0" y="0"/>
                      <a:ext cx="5760085" cy="2269864"/>
                    </a:xfrm>
                    <a:prstGeom prst="rect">
                      <a:avLst/>
                    </a:prstGeom>
                  </pic:spPr>
                </pic:pic>
              </a:graphicData>
            </a:graphic>
          </wp:inline>
        </w:drawing>
      </w:r>
    </w:p>
    <w:p w14:paraId="30C4DD8A">
      <w:pPr>
        <w:pageBreakBefore w:val="0"/>
        <w:kinsoku/>
        <w:wordWrap/>
        <w:overflowPunct/>
        <w:topLinePunct w:val="0"/>
        <w:autoSpaceDE/>
        <w:autoSpaceDN/>
        <w:bidi w:val="0"/>
        <w:spacing w:after="0"/>
      </w:pPr>
    </w:p>
    <w:p w14:paraId="0B73CFC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pageBreakBefore w:val="0"/>
        <w:kinsoku/>
        <w:wordWrap/>
        <w:overflowPunct/>
        <w:topLinePunct w:val="0"/>
        <w:autoSpaceDE/>
        <w:autoSpaceDN/>
        <w:bidi w:val="0"/>
        <w:spacing w:after="0"/>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6"/>
                    <a:stretch>
                      <a:fillRect/>
                    </a:stretch>
                  </pic:blipFill>
                  <pic:spPr>
                    <a:xfrm>
                      <a:off x="0" y="0"/>
                      <a:ext cx="5760085" cy="2125673"/>
                    </a:xfrm>
                    <a:prstGeom prst="rect">
                      <a:avLst/>
                    </a:prstGeom>
                  </pic:spPr>
                </pic:pic>
              </a:graphicData>
            </a:graphic>
          </wp:inline>
        </w:drawing>
      </w:r>
    </w:p>
    <w:p w14:paraId="3F28D54B">
      <w:pPr>
        <w:pageBreakBefore w:val="0"/>
        <w:kinsoku/>
        <w:wordWrap/>
        <w:overflowPunct/>
        <w:topLinePunct w:val="0"/>
        <w:autoSpaceDE/>
        <w:autoSpaceDN/>
        <w:bidi w:val="0"/>
        <w:spacing w:after="0"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17"/>
        <w:pageBreakBefore w:val="0"/>
        <w:kinsoku/>
        <w:wordWrap/>
        <w:overflowPunct/>
        <w:topLinePunct w:val="0"/>
        <w:autoSpaceDE/>
        <w:autoSpaceDN/>
        <w:bidi w:val="0"/>
        <w:spacing w:after="0"/>
      </w:pPr>
      <w:r>
        <w:rPr>
          <w:rFonts w:hint="eastAsia" w:hAnsi="宋体" w:eastAsia="宋体" w:cs="宋体"/>
          <w:color w:val="000000"/>
          <w:sz w:val="24"/>
          <w:szCs w:val="28"/>
        </w:rPr>
        <w:t>注意：系统内的投标报价单位为“万元”，如开标现场发现填错报价，即直接淘汰。</w:t>
      </w:r>
    </w:p>
    <w:p w14:paraId="2F2B82EA">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7"/>
                    <a:stretch>
                      <a:fillRect/>
                    </a:stretch>
                  </pic:blipFill>
                  <pic:spPr>
                    <a:xfrm>
                      <a:off x="0" y="0"/>
                      <a:ext cx="5490210" cy="2669498"/>
                    </a:xfrm>
                    <a:prstGeom prst="rect">
                      <a:avLst/>
                    </a:prstGeom>
                  </pic:spPr>
                </pic:pic>
              </a:graphicData>
            </a:graphic>
          </wp:inline>
        </w:drawing>
      </w:r>
    </w:p>
    <w:p w14:paraId="334A0E4B">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6D8A2ECE">
      <w:pPr>
        <w:pageBreakBefore w:val="0"/>
        <w:kinsoku/>
        <w:wordWrap/>
        <w:overflowPunct/>
        <w:topLinePunct w:val="0"/>
        <w:autoSpaceDE/>
        <w:autoSpaceDN/>
        <w:bidi w:val="0"/>
        <w:spacing w:after="0"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38"/>
                    <a:stretch>
                      <a:fillRect/>
                    </a:stretch>
                  </pic:blipFill>
                  <pic:spPr>
                    <a:xfrm>
                      <a:off x="0" y="0"/>
                      <a:ext cx="5490210" cy="1992743"/>
                    </a:xfrm>
                    <a:prstGeom prst="rect">
                      <a:avLst/>
                    </a:prstGeom>
                  </pic:spPr>
                </pic:pic>
              </a:graphicData>
            </a:graphic>
          </wp:inline>
        </w:drawing>
      </w:r>
    </w:p>
    <w:p w14:paraId="693278CA">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758180" cy="2379345"/>
            <wp:effectExtent l="0" t="0" r="13970" b="190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39"/>
                    <a:stretch>
                      <a:fillRect/>
                    </a:stretch>
                  </pic:blipFill>
                  <pic:spPr>
                    <a:xfrm>
                      <a:off x="0" y="0"/>
                      <a:ext cx="5758180" cy="2379345"/>
                    </a:xfrm>
                    <a:prstGeom prst="rect">
                      <a:avLst/>
                    </a:prstGeom>
                  </pic:spPr>
                </pic:pic>
              </a:graphicData>
            </a:graphic>
          </wp:inline>
        </w:drawing>
      </w:r>
    </w:p>
    <w:p w14:paraId="2228558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4C5B691">
      <w:pPr>
        <w:pageBreakBefore w:val="0"/>
        <w:kinsoku/>
        <w:wordWrap/>
        <w:overflowPunct/>
        <w:topLinePunct w:val="0"/>
        <w:autoSpaceDE/>
        <w:autoSpaceDN/>
        <w:bidi w:val="0"/>
        <w:spacing w:after="0"/>
        <w:rPr>
          <w:rFonts w:hint="eastAsia" w:ascii="宋体" w:hAnsi="宋体" w:eastAsia="宋体" w:cs="Times New Roman"/>
          <w:b/>
          <w:sz w:val="36"/>
          <w:szCs w:val="36"/>
        </w:rPr>
      </w:pPr>
      <w:r>
        <w:drawing>
          <wp:inline distT="0" distB="0" distL="0" distR="0">
            <wp:extent cx="6002655" cy="2518410"/>
            <wp:effectExtent l="0" t="0" r="17145" b="1524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40"/>
                    <a:stretch>
                      <a:fillRect/>
                    </a:stretch>
                  </pic:blipFill>
                  <pic:spPr>
                    <a:xfrm>
                      <a:off x="0" y="0"/>
                      <a:ext cx="6002655" cy="2518410"/>
                    </a:xfrm>
                    <a:prstGeom prst="rect">
                      <a:avLst/>
                    </a:prstGeom>
                  </pic:spPr>
                </pic:pic>
              </a:graphicData>
            </a:graphic>
          </wp:inline>
        </w:drawing>
      </w:r>
    </w:p>
    <w:p w14:paraId="3121E729">
      <w:pPr>
        <w:pStyle w:val="160"/>
        <w:rPr>
          <w:rFonts w:hint="default" w:hAnsi="宋体"/>
          <w:sz w:val="24"/>
          <w:lang w:val="en-US"/>
        </w:rPr>
      </w:pPr>
    </w:p>
    <w:p w14:paraId="6101508F">
      <w:pPr>
        <w:rPr>
          <w:rFonts w:hint="eastAsia" w:hAnsi="宋体" w:eastAsia="宋体" w:cs="Times New Roman"/>
          <w:b/>
          <w:color w:val="000000"/>
          <w:sz w:val="24"/>
          <w:szCs w:val="24"/>
          <w:highlight w:val="none"/>
        </w:rPr>
      </w:pPr>
    </w:p>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2AAF4D6-EA9F-4E23-80E4-3F4454758EBF}"/>
  </w:font>
  <w:font w:name="黑体">
    <w:panose1 w:val="02010609060101010101"/>
    <w:charset w:val="86"/>
    <w:family w:val="auto"/>
    <w:pitch w:val="default"/>
    <w:sig w:usb0="800002BF" w:usb1="38CF7CFA" w:usb2="00000016" w:usb3="00000000" w:csb0="00040001" w:csb1="00000000"/>
    <w:embedRegular r:id="rId2" w:fontKey="{BFFF6A77-1255-416B-8134-70E234040F41}"/>
  </w:font>
  <w:font w:name="Courier New">
    <w:panose1 w:val="02070309020205020404"/>
    <w:charset w:val="01"/>
    <w:family w:val="modern"/>
    <w:pitch w:val="default"/>
    <w:sig w:usb0="E0002EFF" w:usb1="C0007843" w:usb2="00000009" w:usb3="00000000" w:csb0="400001FF" w:csb1="FFFF0000"/>
    <w:embedRegular r:id="rId3" w:fontKey="{48B259B3-C815-42F0-8697-3E365920A0F8}"/>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D83FE707-DCC4-47B6-97C8-C3BE14C64EAB}"/>
  </w:font>
  <w:font w:name="等线">
    <w:panose1 w:val="02010600030101010101"/>
    <w:charset w:val="86"/>
    <w:family w:val="auto"/>
    <w:pitch w:val="default"/>
    <w:sig w:usb0="A00002BF" w:usb1="38CF7CFA" w:usb2="00000016" w:usb3="00000000" w:csb0="0004000F" w:csb1="00000000"/>
    <w:embedRegular r:id="rId5" w:fontKey="{AFB9305B-60F5-418E-8FED-F1B1877F39D3}"/>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6" w:fontKey="{124CC4B0-2B71-48E1-B322-4B5A1AA7E9DC}"/>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auto"/>
    <w:pitch w:val="default"/>
    <w:sig w:usb0="00000001" w:usb1="080E0000" w:usb2="00000000" w:usb3="00000000" w:csb0="00040000" w:csb1="00000000"/>
    <w:embedRegular r:id="rId7" w:fontKey="{CFB22CC6-FC42-4BEA-86BB-E8B85DD26D8C}"/>
  </w:font>
  <w:font w:name="??">
    <w:altName w:val="Times New Roman"/>
    <w:panose1 w:val="00000000000000000000"/>
    <w:charset w:val="00"/>
    <w:family w:val="roman"/>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embedRegular r:id="rId8" w:fontKey="{00D0EEB4-06AB-4A7D-9CC0-F90399FC0C40}"/>
  </w:font>
  <w:font w:name="方正小标宋简体">
    <w:panose1 w:val="03000509000000000000"/>
    <w:charset w:val="86"/>
    <w:family w:val="script"/>
    <w:pitch w:val="default"/>
    <w:sig w:usb0="00000001" w:usb1="080E0000" w:usb2="00000000" w:usb3="00000000" w:csb0="00040000" w:csb1="00000000"/>
    <w:embedRegular r:id="rId9" w:fontKey="{5780B2A5-1D27-4973-8454-B100B820C7CE}"/>
  </w:font>
  <w:font w:name="Wingdings 2">
    <w:panose1 w:val="05020102010507070707"/>
    <w:charset w:val="02"/>
    <w:family w:val="roman"/>
    <w:pitch w:val="default"/>
    <w:sig w:usb0="00000000" w:usb1="00000000" w:usb2="00000000" w:usb3="00000000" w:csb0="80000000" w:csb1="00000000"/>
    <w:embedRegular r:id="rId10" w:fontKey="{AF8E801B-316F-4EC3-9E44-1725A6C92AF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A09A2">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24A1B9">
                          <w:pPr>
                            <w:pStyle w:val="23"/>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4724A1B9">
                    <w:pPr>
                      <w:pStyle w:val="23"/>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AEC731">
                          <w:pPr>
                            <w:pStyle w:val="23"/>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DAEC731">
                    <w:pPr>
                      <w:pStyle w:val="23"/>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3"/>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348D4">
    <w:pPr>
      <w:pStyle w:val="23"/>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AF636">
    <w:pPr>
      <w:pStyle w:val="23"/>
      <w:jc w:val="center"/>
      <w:rPr>
        <w:sz w:val="21"/>
        <w:szCs w:val="20"/>
      </w:rPr>
    </w:pPr>
    <w:r>
      <w:rPr>
        <w:sz w:val="21"/>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82032"/>
                          </w:sdtPr>
                          <w:sdtContent>
                            <w:p w14:paraId="63614A2D">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1F298B5"/>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sdt>
                    <w:sdtPr>
                      <w:id w:val="147482032"/>
                    </w:sdtPr>
                    <w:sdtContent>
                      <w:p w14:paraId="63614A2D">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1F298B5"/>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D690">
    <w:pPr>
      <w:pStyle w:val="23"/>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6596"/>
                          </w:sdtPr>
                          <w:sdtContent>
                            <w:sdt>
                              <w:sdtPr>
                                <w:id w:val="147473185"/>
                              </w:sdtPr>
                              <w:sdtContent>
                                <w:p w14:paraId="79AC3900">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7D6E6A3F"/>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sdt>
                    <w:sdtPr>
                      <w:id w:val="147466596"/>
                    </w:sdtPr>
                    <w:sdtContent>
                      <w:sdt>
                        <w:sdtPr>
                          <w:id w:val="147473185"/>
                        </w:sdtPr>
                        <w:sdtContent>
                          <w:p w14:paraId="79AC3900">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7D6E6A3F"/>
                </w:txbxContent>
              </v:textbox>
            </v:shape>
          </w:pict>
        </mc:Fallback>
      </mc:AlternateContent>
    </w:r>
  </w:p>
  <w:p w14:paraId="651627BB">
    <w:pPr>
      <w:pStyle w:val="23"/>
      <w:jc w:val="center"/>
    </w:pPr>
  </w:p>
  <w:p w14:paraId="1DFF0D79"/>
  <w:p w14:paraId="5CB49AF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DD4F1">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77941">
    <w:pPr>
      <w:spacing w:line="182" w:lineRule="auto"/>
      <w:ind w:left="6866"/>
      <w:rPr>
        <w:rFonts w:ascii="宋体" w:hAnsi="宋体" w:eastAsia="宋体" w:cs="宋体"/>
        <w:sz w:val="18"/>
        <w:szCs w:val="1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tabs>
        <w:tab w:val="left" w:pos="7187"/>
      </w:tabs>
      <w:spacing w:line="188" w:lineRule="auto"/>
      <w:ind w:left="6854"/>
      <w:rPr>
        <w:rFonts w:hint="eastAsia" w:ascii="Times New Roman" w:hAnsi="Times New Roman" w:eastAsia="宋体" w:cs="Times New Roman"/>
        <w:sz w:val="18"/>
        <w:szCs w:val="18"/>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7017F9">
                          <w:pPr>
                            <w:pStyle w:val="23"/>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647017F9">
                    <w:pPr>
                      <w:pStyle w:val="23"/>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5E71B3">
                          <w:pPr>
                            <w:pStyle w:val="23"/>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025E71B3">
                    <w:pPr>
                      <w:pStyle w:val="23"/>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738C4C">
                          <w:pPr>
                            <w:pStyle w:val="23"/>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06738C4C">
                    <w:pPr>
                      <w:pStyle w:val="23"/>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35</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75C67">
    <w:pPr>
      <w:pStyle w:val="24"/>
      <w:ind w:firstLine="360"/>
      <w:jc w:val="right"/>
    </w:pPr>
    <w:r>
      <w:rPr>
        <w:rFonts w:hint="eastAsia"/>
      </w:rPr>
      <w:t>中国重汽集团济南商用车有限公司新能源轻卡怀挡车型改造项目-焊装线改造项目招标书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04E2F">
    <w:pPr>
      <w:pStyle w:val="24"/>
      <w:ind w:firstLine="360"/>
      <w:jc w:val="right"/>
    </w:pPr>
    <w:r>
      <w:rPr>
        <w:rFonts w:hint="eastAsia"/>
      </w:rPr>
      <w:t>中国重汽集团济南商用车有限公司新能源轻卡怀挡车型改造项目-焊装线改造项目招标书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10961">
    <w:pPr>
      <w:pStyle w:val="24"/>
      <w:ind w:firstLine="360"/>
      <w:jc w:val="right"/>
    </w:pPr>
    <w:r>
      <w:rPr>
        <w:rFonts w:hint="eastAsia"/>
      </w:rPr>
      <w:t>中国重汽集团济南商用车有限公司新能源轻卡怀挡车型改造项目-焊装线改造项目招标书</w:t>
    </w:r>
  </w:p>
  <w:p w14:paraId="418EF7C1"/>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4DA2C">
    <w:pPr>
      <w:pStyle w:val="24"/>
      <w:ind w:firstLine="360"/>
      <w:jc w:val="right"/>
      <w:rPr>
        <w:rFonts w:hint="eastAsia"/>
      </w:rPr>
    </w:pPr>
    <w:r>
      <w:rPr>
        <w:rFonts w:hint="eastAsia"/>
      </w:rPr>
      <w:t>中国重汽集团济南商用车有限公司新能源轻卡怀挡车型改造项目-焊装线改造项目招标书</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F4A33">
    <w:pPr>
      <w:pStyle w:val="24"/>
      <w:ind w:firstLine="360"/>
      <w:jc w:val="right"/>
    </w:pPr>
    <w:r>
      <w:rPr>
        <w:rFonts w:hint="eastAsia"/>
      </w:rPr>
      <w:t>中国重汽集团济南商用车有限公司新能源轻卡怀挡车型改造项目-焊装线改造项目招标书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70B68">
    <w:pPr>
      <w:pStyle w:val="24"/>
      <w:ind w:firstLine="360"/>
      <w:jc w:val="right"/>
    </w:pPr>
    <w:r>
      <w:rPr>
        <w:rFonts w:hint="eastAsia"/>
      </w:rPr>
      <w:t>中国重汽集团济南商用车有限公司新能源轻卡怀挡车型改造项目-焊装线改造项目招标书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B8755D9"/>
    <w:multiLevelType w:val="singleLevel"/>
    <w:tmpl w:val="8B8755D9"/>
    <w:lvl w:ilvl="0" w:tentative="0">
      <w:start w:val="1"/>
      <w:numFmt w:val="bullet"/>
      <w:pStyle w:val="18"/>
      <w:lvlText w:val=""/>
      <w:lvlJc w:val="left"/>
      <w:pPr>
        <w:tabs>
          <w:tab w:val="left" w:pos="2040"/>
        </w:tabs>
        <w:ind w:left="2040" w:hanging="360"/>
      </w:pPr>
      <w:rPr>
        <w:rFonts w:hint="default" w:ascii="Wingdings" w:hAnsi="Wingdings"/>
      </w:rPr>
    </w:lvl>
  </w:abstractNum>
  <w:abstractNum w:abstractNumId="3">
    <w:nsid w:val="8F018FD0"/>
    <w:multiLevelType w:val="singleLevel"/>
    <w:tmpl w:val="8F018FD0"/>
    <w:lvl w:ilvl="0" w:tentative="0">
      <w:start w:val="1"/>
      <w:numFmt w:val="decimal"/>
      <w:lvlText w:val="%1."/>
      <w:lvlJc w:val="left"/>
      <w:pPr>
        <w:ind w:left="425" w:hanging="425"/>
      </w:pPr>
      <w:rPr>
        <w:rFonts w:hint="default"/>
        <w:color w:val="auto"/>
      </w:rPr>
    </w:lvl>
  </w:abstractNum>
  <w:abstractNum w:abstractNumId="4">
    <w:nsid w:val="93852671"/>
    <w:multiLevelType w:val="singleLevel"/>
    <w:tmpl w:val="93852671"/>
    <w:lvl w:ilvl="0" w:tentative="0">
      <w:start w:val="1"/>
      <w:numFmt w:val="decimal"/>
      <w:lvlText w:val="%1."/>
      <w:lvlJc w:val="left"/>
      <w:pPr>
        <w:ind w:left="425" w:hanging="425"/>
      </w:pPr>
      <w:rPr>
        <w:rFonts w:hint="default"/>
      </w:rPr>
    </w:lvl>
  </w:abstractNum>
  <w:abstractNum w:abstractNumId="5">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0000001"/>
    <w:multiLevelType w:val="multilevel"/>
    <w:tmpl w:val="00000001"/>
    <w:lvl w:ilvl="0" w:tentative="0">
      <w:start w:val="1"/>
      <w:numFmt w:val="decimal"/>
      <w:lvlText w:val="%1、"/>
      <w:lvlJc w:val="left"/>
      <w:pPr>
        <w:tabs>
          <w:tab w:val="left" w:pos="840"/>
        </w:tabs>
        <w:ind w:left="840" w:hanging="360"/>
      </w:pPr>
      <w:rPr>
        <w:u w:val="none"/>
      </w:rPr>
    </w:lvl>
    <w:lvl w:ilvl="1" w:tentative="0">
      <w:start w:val="1"/>
      <w:numFmt w:val="lowerLetter"/>
      <w:lvlText w:val="%2)"/>
      <w:lvlJc w:val="left"/>
      <w:pPr>
        <w:tabs>
          <w:tab w:val="left" w:pos="1320"/>
        </w:tabs>
        <w:ind w:left="1320" w:hanging="420"/>
      </w:pPr>
      <w:rPr>
        <w:u w:val="none"/>
      </w:rPr>
    </w:lvl>
    <w:lvl w:ilvl="2" w:tentative="0">
      <w:start w:val="1"/>
      <w:numFmt w:val="lowerRoman"/>
      <w:lvlText w:val="%3."/>
      <w:lvlJc w:val="right"/>
      <w:pPr>
        <w:tabs>
          <w:tab w:val="left" w:pos="1740"/>
        </w:tabs>
        <w:ind w:left="1740" w:hanging="420"/>
      </w:pPr>
      <w:rPr>
        <w:u w:val="none"/>
      </w:rPr>
    </w:lvl>
    <w:lvl w:ilvl="3" w:tentative="0">
      <w:start w:val="1"/>
      <w:numFmt w:val="decimal"/>
      <w:lvlText w:val="%4."/>
      <w:lvlJc w:val="left"/>
      <w:pPr>
        <w:tabs>
          <w:tab w:val="left" w:pos="2160"/>
        </w:tabs>
        <w:ind w:left="2160" w:hanging="420"/>
      </w:pPr>
      <w:rPr>
        <w:u w:val="none"/>
      </w:rPr>
    </w:lvl>
    <w:lvl w:ilvl="4" w:tentative="0">
      <w:start w:val="1"/>
      <w:numFmt w:val="lowerLetter"/>
      <w:lvlText w:val="%5)"/>
      <w:lvlJc w:val="left"/>
      <w:pPr>
        <w:tabs>
          <w:tab w:val="left" w:pos="2580"/>
        </w:tabs>
        <w:ind w:left="2580" w:hanging="420"/>
      </w:pPr>
      <w:rPr>
        <w:u w:val="none"/>
      </w:rPr>
    </w:lvl>
    <w:lvl w:ilvl="5" w:tentative="0">
      <w:start w:val="1"/>
      <w:numFmt w:val="lowerRoman"/>
      <w:lvlText w:val="%6."/>
      <w:lvlJc w:val="right"/>
      <w:pPr>
        <w:tabs>
          <w:tab w:val="left" w:pos="3000"/>
        </w:tabs>
        <w:ind w:left="3000" w:hanging="420"/>
      </w:pPr>
      <w:rPr>
        <w:u w:val="none"/>
      </w:rPr>
    </w:lvl>
    <w:lvl w:ilvl="6" w:tentative="0">
      <w:start w:val="1"/>
      <w:numFmt w:val="decimal"/>
      <w:lvlText w:val="%7."/>
      <w:lvlJc w:val="left"/>
      <w:pPr>
        <w:tabs>
          <w:tab w:val="left" w:pos="3420"/>
        </w:tabs>
        <w:ind w:left="3420" w:hanging="420"/>
      </w:pPr>
      <w:rPr>
        <w:u w:val="none"/>
      </w:rPr>
    </w:lvl>
    <w:lvl w:ilvl="7" w:tentative="0">
      <w:start w:val="1"/>
      <w:numFmt w:val="lowerLetter"/>
      <w:lvlText w:val="%8)"/>
      <w:lvlJc w:val="left"/>
      <w:pPr>
        <w:tabs>
          <w:tab w:val="left" w:pos="3840"/>
        </w:tabs>
        <w:ind w:left="3840" w:hanging="420"/>
      </w:pPr>
      <w:rPr>
        <w:u w:val="none"/>
      </w:rPr>
    </w:lvl>
    <w:lvl w:ilvl="8" w:tentative="0">
      <w:start w:val="1"/>
      <w:numFmt w:val="lowerRoman"/>
      <w:lvlText w:val="%9."/>
      <w:lvlJc w:val="right"/>
      <w:pPr>
        <w:tabs>
          <w:tab w:val="left" w:pos="4260"/>
        </w:tabs>
        <w:ind w:left="4260" w:hanging="420"/>
      </w:pPr>
      <w:rPr>
        <w:u w:val="none"/>
      </w:rPr>
    </w:lvl>
  </w:abstractNum>
  <w:abstractNum w:abstractNumId="14">
    <w:nsid w:val="06882CE3"/>
    <w:multiLevelType w:val="multilevel"/>
    <w:tmpl w:val="06882CE3"/>
    <w:lvl w:ilvl="0" w:tentative="0">
      <w:start w:val="1"/>
      <w:numFmt w:val="decimal"/>
      <w:pStyle w:val="162"/>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3265E1EC"/>
    <w:multiLevelType w:val="singleLevel"/>
    <w:tmpl w:val="3265E1EC"/>
    <w:lvl w:ilvl="0" w:tentative="0">
      <w:start w:val="1"/>
      <w:numFmt w:val="decimal"/>
      <w:lvlText w:val="(%1)"/>
      <w:lvlJc w:val="left"/>
      <w:pPr>
        <w:ind w:left="425" w:hanging="425"/>
      </w:pPr>
      <w:rPr>
        <w:rFonts w:hint="default"/>
      </w:rPr>
    </w:lvl>
  </w:abstractNum>
  <w:abstractNum w:abstractNumId="16">
    <w:nsid w:val="343C2A2C"/>
    <w:multiLevelType w:val="multilevel"/>
    <w:tmpl w:val="343C2A2C"/>
    <w:lvl w:ilvl="0" w:tentative="0">
      <w:start w:val="1"/>
      <w:numFmt w:val="bullet"/>
      <w:lvlText w:val=""/>
      <w:lvlJc w:val="left"/>
      <w:pPr>
        <w:ind w:left="1140" w:hanging="360"/>
      </w:pPr>
      <w:rPr>
        <w:rFonts w:hint="default" w:ascii="Symbol" w:hAnsi="Symbol"/>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F170FA9"/>
    <w:multiLevelType w:val="singleLevel"/>
    <w:tmpl w:val="4F170FA9"/>
    <w:lvl w:ilvl="0" w:tentative="0">
      <w:start w:val="1"/>
      <w:numFmt w:val="bullet"/>
      <w:lvlText w:val=""/>
      <w:lvlJc w:val="left"/>
      <w:pPr>
        <w:ind w:left="420" w:hanging="420"/>
      </w:pPr>
      <w:rPr>
        <w:rFonts w:hint="default" w:ascii="Wingdings" w:hAnsi="Wingdings"/>
      </w:rPr>
    </w:lvl>
  </w:abstractNum>
  <w:abstractNum w:abstractNumId="21">
    <w:nsid w:val="520018B0"/>
    <w:multiLevelType w:val="multilevel"/>
    <w:tmpl w:val="520018B0"/>
    <w:lvl w:ilvl="0" w:tentative="0">
      <w:start w:val="1"/>
      <w:numFmt w:val="decimal"/>
      <w:pStyle w:val="161"/>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15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15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pStyle w:val="105"/>
      <w:suff w:val="nothing"/>
      <w:lvlText w:val="%1%2　"/>
      <w:lvlJc w:val="left"/>
      <w:pPr>
        <w:ind w:left="0" w:firstLine="0"/>
      </w:pPr>
      <w:rPr>
        <w:rFonts w:hint="eastAsia" w:ascii="黑体" w:hAnsi="Times New Roman" w:eastAsia="黑体"/>
        <w:b w:val="0"/>
        <w:i w:val="0"/>
        <w:sz w:val="21"/>
      </w:rPr>
    </w:lvl>
    <w:lvl w:ilvl="2" w:tentative="0">
      <w:start w:val="1"/>
      <w:numFmt w:val="decimal"/>
      <w:pStyle w:val="110"/>
      <w:suff w:val="nothing"/>
      <w:lvlText w:val="%1%2.%3　"/>
      <w:lvlJc w:val="left"/>
      <w:pPr>
        <w:ind w:left="2552" w:firstLine="0"/>
      </w:pPr>
      <w:rPr>
        <w:rFonts w:hint="eastAsia" w:ascii="黑体" w:hAnsi="Times New Roman" w:eastAsia="黑体"/>
        <w:b w:val="0"/>
        <w:i w:val="0"/>
        <w:sz w:val="21"/>
      </w:rPr>
    </w:lvl>
    <w:lvl w:ilvl="3" w:tentative="0">
      <w:start w:val="1"/>
      <w:numFmt w:val="decimal"/>
      <w:pStyle w:val="150"/>
      <w:suff w:val="nothing"/>
      <w:lvlText w:val="%1%2.%3.%4　"/>
      <w:lvlJc w:val="left"/>
      <w:pPr>
        <w:ind w:left="3827" w:firstLine="0"/>
      </w:pPr>
      <w:rPr>
        <w:rFonts w:hint="eastAsia" w:ascii="黑体" w:hAnsi="Times New Roman" w:eastAsia="黑体"/>
        <w:b w:val="0"/>
        <w:i w:val="0"/>
        <w:sz w:val="21"/>
      </w:rPr>
    </w:lvl>
    <w:lvl w:ilvl="4" w:tentative="0">
      <w:start w:val="1"/>
      <w:numFmt w:val="decimal"/>
      <w:pStyle w:val="151"/>
      <w:suff w:val="nothing"/>
      <w:lvlText w:val="%1%2.%3.%4.%5　"/>
      <w:lvlJc w:val="left"/>
      <w:pPr>
        <w:ind w:left="708"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7">
    <w:nsid w:val="7C006D1E"/>
    <w:multiLevelType w:val="multilevel"/>
    <w:tmpl w:val="7C006D1E"/>
    <w:lvl w:ilvl="0" w:tentative="0">
      <w:start w:val="1"/>
      <w:numFmt w:val="bullet"/>
      <w:lvlText w:val=""/>
      <w:lvlJc w:val="left"/>
      <w:pPr>
        <w:ind w:left="1140" w:hanging="360"/>
      </w:pPr>
      <w:rPr>
        <w:rFonts w:hint="default" w:ascii="Wingdings" w:hAnsi="Wingdings"/>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num w:numId="1">
    <w:abstractNumId w:val="2"/>
  </w:num>
  <w:num w:numId="2">
    <w:abstractNumId w:val="25"/>
  </w:num>
  <w:num w:numId="3">
    <w:abstractNumId w:val="24"/>
  </w:num>
  <w:num w:numId="4">
    <w:abstractNumId w:val="22"/>
  </w:num>
  <w:num w:numId="5">
    <w:abstractNumId w:val="21"/>
  </w:num>
  <w:num w:numId="6">
    <w:abstractNumId w:val="14"/>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3"/>
  </w:num>
  <w:num w:numId="12">
    <w:abstractNumId w:val="6"/>
  </w:num>
  <w:num w:numId="13">
    <w:abstractNumId w:val="0"/>
  </w:num>
  <w:num w:numId="14">
    <w:abstractNumId w:val="4"/>
  </w:num>
  <w:num w:numId="15">
    <w:abstractNumId w:val="23"/>
  </w:num>
  <w:num w:numId="16">
    <w:abstractNumId w:val="26"/>
  </w:num>
  <w:num w:numId="17">
    <w:abstractNumId w:val="15"/>
  </w:num>
  <w:num w:numId="18">
    <w:abstractNumId w:val="10"/>
  </w:num>
  <w:num w:numId="19">
    <w:abstractNumId w:val="9"/>
  </w:num>
  <w:num w:numId="20">
    <w:abstractNumId w:val="5"/>
  </w:num>
  <w:num w:numId="21">
    <w:abstractNumId w:val="1"/>
  </w:num>
  <w:num w:numId="22">
    <w:abstractNumId w:val="7"/>
  </w:num>
  <w:num w:numId="23">
    <w:abstractNumId w:val="12"/>
  </w:num>
  <w:num w:numId="24">
    <w:abstractNumId w:val="11"/>
  </w:num>
  <w:num w:numId="25">
    <w:abstractNumId w:val="19"/>
  </w:num>
  <w:num w:numId="26">
    <w:abstractNumId w:val="17"/>
  </w:num>
  <w:num w:numId="27">
    <w:abstractNumId w:val="13"/>
  </w:num>
  <w:num w:numId="28">
    <w:abstractNumId w:val="20"/>
  </w:num>
  <w:num w:numId="29">
    <w:abstractNumId w:val="16"/>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jYjQ3NDY1NzBlZTY2NDdhYzEwY2Y5M2M2NzEwNzYifQ=="/>
    <w:docVar w:name="KSO_WPS_MARK_KEY" w:val="d0a53947-1893-4369-bf97-2e4dc540ee15"/>
  </w:docVars>
  <w:rsids>
    <w:rsidRoot w:val="00172A27"/>
    <w:rsid w:val="000139F5"/>
    <w:rsid w:val="00022B06"/>
    <w:rsid w:val="00023895"/>
    <w:rsid w:val="0003142B"/>
    <w:rsid w:val="00036836"/>
    <w:rsid w:val="0005777A"/>
    <w:rsid w:val="00065382"/>
    <w:rsid w:val="00071127"/>
    <w:rsid w:val="00076D48"/>
    <w:rsid w:val="00080223"/>
    <w:rsid w:val="000A5309"/>
    <w:rsid w:val="000D6A51"/>
    <w:rsid w:val="000E1817"/>
    <w:rsid w:val="000E685E"/>
    <w:rsid w:val="000F45A3"/>
    <w:rsid w:val="001162E0"/>
    <w:rsid w:val="00130392"/>
    <w:rsid w:val="00172A27"/>
    <w:rsid w:val="001C1EE3"/>
    <w:rsid w:val="001C713C"/>
    <w:rsid w:val="001D75B9"/>
    <w:rsid w:val="001D77BD"/>
    <w:rsid w:val="00200F05"/>
    <w:rsid w:val="00220056"/>
    <w:rsid w:val="002225C1"/>
    <w:rsid w:val="002321AF"/>
    <w:rsid w:val="00237A6E"/>
    <w:rsid w:val="002626ED"/>
    <w:rsid w:val="00265A40"/>
    <w:rsid w:val="002661FA"/>
    <w:rsid w:val="00282FDE"/>
    <w:rsid w:val="0029130A"/>
    <w:rsid w:val="002966FF"/>
    <w:rsid w:val="002A1AB1"/>
    <w:rsid w:val="002B5A4E"/>
    <w:rsid w:val="002C7248"/>
    <w:rsid w:val="002D7FF1"/>
    <w:rsid w:val="002F51C0"/>
    <w:rsid w:val="00300288"/>
    <w:rsid w:val="00304A6C"/>
    <w:rsid w:val="00311764"/>
    <w:rsid w:val="00366914"/>
    <w:rsid w:val="003875AC"/>
    <w:rsid w:val="003A0914"/>
    <w:rsid w:val="003A4540"/>
    <w:rsid w:val="003B4D7D"/>
    <w:rsid w:val="003C629E"/>
    <w:rsid w:val="003E0AB3"/>
    <w:rsid w:val="003F4A89"/>
    <w:rsid w:val="00401C42"/>
    <w:rsid w:val="004076DE"/>
    <w:rsid w:val="00411EE4"/>
    <w:rsid w:val="004142B4"/>
    <w:rsid w:val="00417449"/>
    <w:rsid w:val="004256DC"/>
    <w:rsid w:val="00460AFB"/>
    <w:rsid w:val="00467CFB"/>
    <w:rsid w:val="00470130"/>
    <w:rsid w:val="00483B0A"/>
    <w:rsid w:val="00491402"/>
    <w:rsid w:val="00496195"/>
    <w:rsid w:val="004B5126"/>
    <w:rsid w:val="004B7C14"/>
    <w:rsid w:val="004C23B9"/>
    <w:rsid w:val="004D18FA"/>
    <w:rsid w:val="004F7838"/>
    <w:rsid w:val="00503391"/>
    <w:rsid w:val="005063F3"/>
    <w:rsid w:val="00517F8B"/>
    <w:rsid w:val="00542725"/>
    <w:rsid w:val="00547C5C"/>
    <w:rsid w:val="00552960"/>
    <w:rsid w:val="00557300"/>
    <w:rsid w:val="0056018A"/>
    <w:rsid w:val="00560A9C"/>
    <w:rsid w:val="00567344"/>
    <w:rsid w:val="005801C4"/>
    <w:rsid w:val="005829DC"/>
    <w:rsid w:val="005C0B4E"/>
    <w:rsid w:val="005C421F"/>
    <w:rsid w:val="005D43C7"/>
    <w:rsid w:val="005F16F0"/>
    <w:rsid w:val="00612A90"/>
    <w:rsid w:val="0062199F"/>
    <w:rsid w:val="00623773"/>
    <w:rsid w:val="00650EA7"/>
    <w:rsid w:val="0065185D"/>
    <w:rsid w:val="00655A4A"/>
    <w:rsid w:val="00656894"/>
    <w:rsid w:val="00676191"/>
    <w:rsid w:val="00680629"/>
    <w:rsid w:val="006806B8"/>
    <w:rsid w:val="006867ED"/>
    <w:rsid w:val="00686C52"/>
    <w:rsid w:val="00695432"/>
    <w:rsid w:val="006B7645"/>
    <w:rsid w:val="006C5B8D"/>
    <w:rsid w:val="006D7E8F"/>
    <w:rsid w:val="006F1414"/>
    <w:rsid w:val="00720637"/>
    <w:rsid w:val="007430AF"/>
    <w:rsid w:val="007432BF"/>
    <w:rsid w:val="007525BF"/>
    <w:rsid w:val="007800DC"/>
    <w:rsid w:val="0078055A"/>
    <w:rsid w:val="007838AA"/>
    <w:rsid w:val="00783D5E"/>
    <w:rsid w:val="00785843"/>
    <w:rsid w:val="00785FD6"/>
    <w:rsid w:val="00794895"/>
    <w:rsid w:val="007A51B4"/>
    <w:rsid w:val="007A5630"/>
    <w:rsid w:val="007B212D"/>
    <w:rsid w:val="007B3003"/>
    <w:rsid w:val="007D679A"/>
    <w:rsid w:val="00806A61"/>
    <w:rsid w:val="00824BFD"/>
    <w:rsid w:val="008453B3"/>
    <w:rsid w:val="00893A79"/>
    <w:rsid w:val="008D3B56"/>
    <w:rsid w:val="008D3D7F"/>
    <w:rsid w:val="008D5CEF"/>
    <w:rsid w:val="00925EBB"/>
    <w:rsid w:val="009360F9"/>
    <w:rsid w:val="0094714A"/>
    <w:rsid w:val="00947CFE"/>
    <w:rsid w:val="00964F00"/>
    <w:rsid w:val="00973F50"/>
    <w:rsid w:val="009934D9"/>
    <w:rsid w:val="009B511E"/>
    <w:rsid w:val="009C15E2"/>
    <w:rsid w:val="009E0A91"/>
    <w:rsid w:val="009E0F5E"/>
    <w:rsid w:val="009E10F7"/>
    <w:rsid w:val="009E1E02"/>
    <w:rsid w:val="00A148A7"/>
    <w:rsid w:val="00A21EB2"/>
    <w:rsid w:val="00A21F04"/>
    <w:rsid w:val="00A269A7"/>
    <w:rsid w:val="00A31561"/>
    <w:rsid w:val="00A32FE0"/>
    <w:rsid w:val="00A54E95"/>
    <w:rsid w:val="00A646BD"/>
    <w:rsid w:val="00A66DED"/>
    <w:rsid w:val="00A80561"/>
    <w:rsid w:val="00A80564"/>
    <w:rsid w:val="00A94500"/>
    <w:rsid w:val="00A960B2"/>
    <w:rsid w:val="00A97CBB"/>
    <w:rsid w:val="00AA5AD2"/>
    <w:rsid w:val="00AE6633"/>
    <w:rsid w:val="00AF2319"/>
    <w:rsid w:val="00B01FF1"/>
    <w:rsid w:val="00B066EB"/>
    <w:rsid w:val="00B06796"/>
    <w:rsid w:val="00B25FE1"/>
    <w:rsid w:val="00B62D8D"/>
    <w:rsid w:val="00B72516"/>
    <w:rsid w:val="00B73F88"/>
    <w:rsid w:val="00B92C97"/>
    <w:rsid w:val="00B95E51"/>
    <w:rsid w:val="00BA3C70"/>
    <w:rsid w:val="00BB40B8"/>
    <w:rsid w:val="00BB4E42"/>
    <w:rsid w:val="00BC3339"/>
    <w:rsid w:val="00BD563A"/>
    <w:rsid w:val="00BE5F91"/>
    <w:rsid w:val="00BF0E19"/>
    <w:rsid w:val="00C01073"/>
    <w:rsid w:val="00C261B3"/>
    <w:rsid w:val="00C31CAD"/>
    <w:rsid w:val="00C33FF0"/>
    <w:rsid w:val="00C43293"/>
    <w:rsid w:val="00C76EF3"/>
    <w:rsid w:val="00C855F6"/>
    <w:rsid w:val="00C92F53"/>
    <w:rsid w:val="00CD5223"/>
    <w:rsid w:val="00CE5010"/>
    <w:rsid w:val="00CE6E17"/>
    <w:rsid w:val="00CF03B7"/>
    <w:rsid w:val="00CF34ED"/>
    <w:rsid w:val="00CF5C94"/>
    <w:rsid w:val="00D0144F"/>
    <w:rsid w:val="00D0528A"/>
    <w:rsid w:val="00D11B37"/>
    <w:rsid w:val="00D172BA"/>
    <w:rsid w:val="00D408EF"/>
    <w:rsid w:val="00D5145C"/>
    <w:rsid w:val="00D64DAE"/>
    <w:rsid w:val="00D729A1"/>
    <w:rsid w:val="00D8750D"/>
    <w:rsid w:val="00D87893"/>
    <w:rsid w:val="00D94EA1"/>
    <w:rsid w:val="00D955A4"/>
    <w:rsid w:val="00DB5225"/>
    <w:rsid w:val="00DD0A7F"/>
    <w:rsid w:val="00DD1E5E"/>
    <w:rsid w:val="00DD6BA8"/>
    <w:rsid w:val="00DE6152"/>
    <w:rsid w:val="00DE6417"/>
    <w:rsid w:val="00DE7A09"/>
    <w:rsid w:val="00E0062C"/>
    <w:rsid w:val="00E10500"/>
    <w:rsid w:val="00E10B6A"/>
    <w:rsid w:val="00E1627A"/>
    <w:rsid w:val="00E20779"/>
    <w:rsid w:val="00E234D9"/>
    <w:rsid w:val="00E34C35"/>
    <w:rsid w:val="00E62E52"/>
    <w:rsid w:val="00E650A8"/>
    <w:rsid w:val="00E6543E"/>
    <w:rsid w:val="00E874DA"/>
    <w:rsid w:val="00E878B4"/>
    <w:rsid w:val="00EB1C92"/>
    <w:rsid w:val="00EB3D00"/>
    <w:rsid w:val="00EC69F6"/>
    <w:rsid w:val="00ED66A3"/>
    <w:rsid w:val="00F440B2"/>
    <w:rsid w:val="00F61A22"/>
    <w:rsid w:val="00F71720"/>
    <w:rsid w:val="00F72B27"/>
    <w:rsid w:val="00F766B5"/>
    <w:rsid w:val="00FE040F"/>
    <w:rsid w:val="00FE42B3"/>
    <w:rsid w:val="01042CD0"/>
    <w:rsid w:val="01437C9C"/>
    <w:rsid w:val="0147778C"/>
    <w:rsid w:val="014832F2"/>
    <w:rsid w:val="014D51C1"/>
    <w:rsid w:val="01714809"/>
    <w:rsid w:val="01C52478"/>
    <w:rsid w:val="020874E3"/>
    <w:rsid w:val="020B63F1"/>
    <w:rsid w:val="021C006B"/>
    <w:rsid w:val="021D06EC"/>
    <w:rsid w:val="027408EE"/>
    <w:rsid w:val="02963F39"/>
    <w:rsid w:val="02B3095A"/>
    <w:rsid w:val="02BA7274"/>
    <w:rsid w:val="02C5727B"/>
    <w:rsid w:val="03251978"/>
    <w:rsid w:val="0325718A"/>
    <w:rsid w:val="03F205D1"/>
    <w:rsid w:val="0402799B"/>
    <w:rsid w:val="042921B6"/>
    <w:rsid w:val="043B72BB"/>
    <w:rsid w:val="04461EC1"/>
    <w:rsid w:val="04504B3F"/>
    <w:rsid w:val="045B63A0"/>
    <w:rsid w:val="049A5E25"/>
    <w:rsid w:val="049F168E"/>
    <w:rsid w:val="04AD02B8"/>
    <w:rsid w:val="04B944C7"/>
    <w:rsid w:val="04DE51C8"/>
    <w:rsid w:val="04DF17D4"/>
    <w:rsid w:val="05412745"/>
    <w:rsid w:val="05491761"/>
    <w:rsid w:val="058663AA"/>
    <w:rsid w:val="05A351AD"/>
    <w:rsid w:val="05D1591C"/>
    <w:rsid w:val="05F9748A"/>
    <w:rsid w:val="06266F78"/>
    <w:rsid w:val="063E7B7A"/>
    <w:rsid w:val="06565D7C"/>
    <w:rsid w:val="06582413"/>
    <w:rsid w:val="067E33B8"/>
    <w:rsid w:val="06936492"/>
    <w:rsid w:val="069F7723"/>
    <w:rsid w:val="06D7510F"/>
    <w:rsid w:val="06E82FCB"/>
    <w:rsid w:val="06F34B95"/>
    <w:rsid w:val="06F7755F"/>
    <w:rsid w:val="07571DAC"/>
    <w:rsid w:val="07797C0B"/>
    <w:rsid w:val="077E4EA5"/>
    <w:rsid w:val="0790350F"/>
    <w:rsid w:val="07AB20F7"/>
    <w:rsid w:val="07CD4764"/>
    <w:rsid w:val="08590488"/>
    <w:rsid w:val="08760957"/>
    <w:rsid w:val="08803584"/>
    <w:rsid w:val="08AE1E9F"/>
    <w:rsid w:val="08DB07BA"/>
    <w:rsid w:val="08DD171B"/>
    <w:rsid w:val="08E64121"/>
    <w:rsid w:val="08EB4EA1"/>
    <w:rsid w:val="09036BB8"/>
    <w:rsid w:val="091066B6"/>
    <w:rsid w:val="0942017F"/>
    <w:rsid w:val="099F7A3A"/>
    <w:rsid w:val="09A36273"/>
    <w:rsid w:val="09BA1FBB"/>
    <w:rsid w:val="09CB139F"/>
    <w:rsid w:val="0A0106F5"/>
    <w:rsid w:val="0A112AB7"/>
    <w:rsid w:val="0A886720"/>
    <w:rsid w:val="0AAA504A"/>
    <w:rsid w:val="0ABB3229"/>
    <w:rsid w:val="0AD71BC7"/>
    <w:rsid w:val="0AF420EB"/>
    <w:rsid w:val="0B1B7594"/>
    <w:rsid w:val="0B2B2BF5"/>
    <w:rsid w:val="0B2F3908"/>
    <w:rsid w:val="0B3F6206"/>
    <w:rsid w:val="0B9C3F94"/>
    <w:rsid w:val="0BCF0AAA"/>
    <w:rsid w:val="0BE12DB6"/>
    <w:rsid w:val="0BFC6504"/>
    <w:rsid w:val="0C345AD1"/>
    <w:rsid w:val="0C626CE4"/>
    <w:rsid w:val="0C874EE1"/>
    <w:rsid w:val="0CBB2DDD"/>
    <w:rsid w:val="0D0C2B7B"/>
    <w:rsid w:val="0D103128"/>
    <w:rsid w:val="0D9308F8"/>
    <w:rsid w:val="0DE76C3D"/>
    <w:rsid w:val="0E083E00"/>
    <w:rsid w:val="0E1A1D85"/>
    <w:rsid w:val="0E214EC1"/>
    <w:rsid w:val="0E750568"/>
    <w:rsid w:val="0E8A111C"/>
    <w:rsid w:val="0E8F2773"/>
    <w:rsid w:val="0E9C3C97"/>
    <w:rsid w:val="0F2D7A80"/>
    <w:rsid w:val="0F4277E5"/>
    <w:rsid w:val="0F5F3EF3"/>
    <w:rsid w:val="0F7D25CB"/>
    <w:rsid w:val="0FA75561"/>
    <w:rsid w:val="0FB0474F"/>
    <w:rsid w:val="0FB83603"/>
    <w:rsid w:val="0FCA77F1"/>
    <w:rsid w:val="0FCD5DCC"/>
    <w:rsid w:val="10043197"/>
    <w:rsid w:val="101E1EA5"/>
    <w:rsid w:val="10270545"/>
    <w:rsid w:val="1032785A"/>
    <w:rsid w:val="103409DF"/>
    <w:rsid w:val="10513691"/>
    <w:rsid w:val="108A1D4B"/>
    <w:rsid w:val="10A10111"/>
    <w:rsid w:val="10BE093E"/>
    <w:rsid w:val="10E20BD8"/>
    <w:rsid w:val="111B0FE9"/>
    <w:rsid w:val="111E54BC"/>
    <w:rsid w:val="112C77F4"/>
    <w:rsid w:val="113D1B21"/>
    <w:rsid w:val="115F67A8"/>
    <w:rsid w:val="116339A6"/>
    <w:rsid w:val="11927FE9"/>
    <w:rsid w:val="119A7465"/>
    <w:rsid w:val="11BD3153"/>
    <w:rsid w:val="11C07DA5"/>
    <w:rsid w:val="11C2491E"/>
    <w:rsid w:val="11EC57E6"/>
    <w:rsid w:val="11F36B75"/>
    <w:rsid w:val="12174F59"/>
    <w:rsid w:val="12491386"/>
    <w:rsid w:val="12541D09"/>
    <w:rsid w:val="128807D2"/>
    <w:rsid w:val="12B30160"/>
    <w:rsid w:val="12B50F6F"/>
    <w:rsid w:val="12E60579"/>
    <w:rsid w:val="12EB0F02"/>
    <w:rsid w:val="131B2827"/>
    <w:rsid w:val="13355458"/>
    <w:rsid w:val="13695B36"/>
    <w:rsid w:val="1372609F"/>
    <w:rsid w:val="13D50C28"/>
    <w:rsid w:val="13D73572"/>
    <w:rsid w:val="13F217DA"/>
    <w:rsid w:val="1424395D"/>
    <w:rsid w:val="14302F5B"/>
    <w:rsid w:val="144363D4"/>
    <w:rsid w:val="14504752"/>
    <w:rsid w:val="145A6A37"/>
    <w:rsid w:val="14665D24"/>
    <w:rsid w:val="1467440F"/>
    <w:rsid w:val="148F0C4A"/>
    <w:rsid w:val="14B60A59"/>
    <w:rsid w:val="15400323"/>
    <w:rsid w:val="15433A9B"/>
    <w:rsid w:val="15787ABD"/>
    <w:rsid w:val="15AC59B8"/>
    <w:rsid w:val="15FC2F04"/>
    <w:rsid w:val="16181FAC"/>
    <w:rsid w:val="16781D3E"/>
    <w:rsid w:val="168756A0"/>
    <w:rsid w:val="168D3A3C"/>
    <w:rsid w:val="16DE4BFF"/>
    <w:rsid w:val="16E75D5E"/>
    <w:rsid w:val="16F94849"/>
    <w:rsid w:val="16FF13AD"/>
    <w:rsid w:val="17045E51"/>
    <w:rsid w:val="172011D4"/>
    <w:rsid w:val="17252C3B"/>
    <w:rsid w:val="173F0A2E"/>
    <w:rsid w:val="17770BC2"/>
    <w:rsid w:val="17860E2F"/>
    <w:rsid w:val="178D44B2"/>
    <w:rsid w:val="17A119AA"/>
    <w:rsid w:val="17E551B2"/>
    <w:rsid w:val="18181BB3"/>
    <w:rsid w:val="18586F2B"/>
    <w:rsid w:val="18B518DD"/>
    <w:rsid w:val="19266721"/>
    <w:rsid w:val="193D5052"/>
    <w:rsid w:val="19A4034B"/>
    <w:rsid w:val="19A766B9"/>
    <w:rsid w:val="19C31523"/>
    <w:rsid w:val="19CE76BA"/>
    <w:rsid w:val="19D11E91"/>
    <w:rsid w:val="19F26070"/>
    <w:rsid w:val="19F8541A"/>
    <w:rsid w:val="19F97C8B"/>
    <w:rsid w:val="1A1523CE"/>
    <w:rsid w:val="1A1E139B"/>
    <w:rsid w:val="1A3366A8"/>
    <w:rsid w:val="1A3B555D"/>
    <w:rsid w:val="1A6119E3"/>
    <w:rsid w:val="1AA730BD"/>
    <w:rsid w:val="1AE6196C"/>
    <w:rsid w:val="1B333D5D"/>
    <w:rsid w:val="1B587618"/>
    <w:rsid w:val="1B5F19C7"/>
    <w:rsid w:val="1B6B0FE4"/>
    <w:rsid w:val="1B774356"/>
    <w:rsid w:val="1B795BA4"/>
    <w:rsid w:val="1B8549D3"/>
    <w:rsid w:val="1C071B9A"/>
    <w:rsid w:val="1C1C709B"/>
    <w:rsid w:val="1C4F52EF"/>
    <w:rsid w:val="1C4F6795"/>
    <w:rsid w:val="1C8625C6"/>
    <w:rsid w:val="1C9F6814"/>
    <w:rsid w:val="1CA23671"/>
    <w:rsid w:val="1CE739C9"/>
    <w:rsid w:val="1CF70D48"/>
    <w:rsid w:val="1D2A7420"/>
    <w:rsid w:val="1D5C514E"/>
    <w:rsid w:val="1D865D14"/>
    <w:rsid w:val="1D8705EC"/>
    <w:rsid w:val="1DA67191"/>
    <w:rsid w:val="1DA90A2F"/>
    <w:rsid w:val="1DBC5610"/>
    <w:rsid w:val="1E43150B"/>
    <w:rsid w:val="1E4E3AB1"/>
    <w:rsid w:val="1E8E577C"/>
    <w:rsid w:val="1EA93E80"/>
    <w:rsid w:val="1ED33FB6"/>
    <w:rsid w:val="1EE81332"/>
    <w:rsid w:val="1EF5217E"/>
    <w:rsid w:val="1F122D30"/>
    <w:rsid w:val="1F32415A"/>
    <w:rsid w:val="1F542F9A"/>
    <w:rsid w:val="1F702632"/>
    <w:rsid w:val="1F7D1043"/>
    <w:rsid w:val="1F7E2174"/>
    <w:rsid w:val="1F882FF2"/>
    <w:rsid w:val="20107567"/>
    <w:rsid w:val="201F3D6B"/>
    <w:rsid w:val="205938D8"/>
    <w:rsid w:val="205C6834"/>
    <w:rsid w:val="20AB56C6"/>
    <w:rsid w:val="20CF7C34"/>
    <w:rsid w:val="21547789"/>
    <w:rsid w:val="2176507C"/>
    <w:rsid w:val="21BE35AF"/>
    <w:rsid w:val="21C11174"/>
    <w:rsid w:val="220D732D"/>
    <w:rsid w:val="22205764"/>
    <w:rsid w:val="22244B28"/>
    <w:rsid w:val="22467FD4"/>
    <w:rsid w:val="226A1E07"/>
    <w:rsid w:val="229451FD"/>
    <w:rsid w:val="22A12DB6"/>
    <w:rsid w:val="22CD4272"/>
    <w:rsid w:val="22E36792"/>
    <w:rsid w:val="230C7A96"/>
    <w:rsid w:val="236356D1"/>
    <w:rsid w:val="23A91C83"/>
    <w:rsid w:val="23BF2D5B"/>
    <w:rsid w:val="23C14D25"/>
    <w:rsid w:val="23C962E8"/>
    <w:rsid w:val="23F30C56"/>
    <w:rsid w:val="245B1ACF"/>
    <w:rsid w:val="246D6790"/>
    <w:rsid w:val="247E4FED"/>
    <w:rsid w:val="24AD52A9"/>
    <w:rsid w:val="24AD78E0"/>
    <w:rsid w:val="24B30BE8"/>
    <w:rsid w:val="24B959FC"/>
    <w:rsid w:val="24BB674A"/>
    <w:rsid w:val="24D665AE"/>
    <w:rsid w:val="24E34060"/>
    <w:rsid w:val="253A0491"/>
    <w:rsid w:val="25A61150"/>
    <w:rsid w:val="25B05051"/>
    <w:rsid w:val="25C10713"/>
    <w:rsid w:val="25E036B2"/>
    <w:rsid w:val="25E9082A"/>
    <w:rsid w:val="25F0480C"/>
    <w:rsid w:val="25F42473"/>
    <w:rsid w:val="26597496"/>
    <w:rsid w:val="26630315"/>
    <w:rsid w:val="26880594"/>
    <w:rsid w:val="26AF2D79"/>
    <w:rsid w:val="26B34B91"/>
    <w:rsid w:val="26D7660D"/>
    <w:rsid w:val="26FE1DEC"/>
    <w:rsid w:val="270D66E8"/>
    <w:rsid w:val="271460F5"/>
    <w:rsid w:val="27180043"/>
    <w:rsid w:val="27380592"/>
    <w:rsid w:val="27514612"/>
    <w:rsid w:val="278B0DAB"/>
    <w:rsid w:val="279C6B0E"/>
    <w:rsid w:val="27A64735"/>
    <w:rsid w:val="27AA7EDF"/>
    <w:rsid w:val="27CC4DF2"/>
    <w:rsid w:val="27FD384C"/>
    <w:rsid w:val="281864F2"/>
    <w:rsid w:val="282F658A"/>
    <w:rsid w:val="283F41FE"/>
    <w:rsid w:val="285C501C"/>
    <w:rsid w:val="285E218C"/>
    <w:rsid w:val="286903EF"/>
    <w:rsid w:val="287F5DD3"/>
    <w:rsid w:val="288047CB"/>
    <w:rsid w:val="28976054"/>
    <w:rsid w:val="289C366A"/>
    <w:rsid w:val="289E62FA"/>
    <w:rsid w:val="28CA629D"/>
    <w:rsid w:val="28FD6E90"/>
    <w:rsid w:val="291E2CA6"/>
    <w:rsid w:val="293143F3"/>
    <w:rsid w:val="29331862"/>
    <w:rsid w:val="293C4426"/>
    <w:rsid w:val="29453D02"/>
    <w:rsid w:val="299741EC"/>
    <w:rsid w:val="299E147F"/>
    <w:rsid w:val="29B91531"/>
    <w:rsid w:val="29C32A87"/>
    <w:rsid w:val="29CF26DC"/>
    <w:rsid w:val="29E70C6B"/>
    <w:rsid w:val="29EF2538"/>
    <w:rsid w:val="2A0151A8"/>
    <w:rsid w:val="2A1C5DA0"/>
    <w:rsid w:val="2A200D39"/>
    <w:rsid w:val="2A507EFF"/>
    <w:rsid w:val="2A832D34"/>
    <w:rsid w:val="2ADC05A4"/>
    <w:rsid w:val="2AEF2177"/>
    <w:rsid w:val="2AF855C0"/>
    <w:rsid w:val="2B2B6F28"/>
    <w:rsid w:val="2B2D2CA0"/>
    <w:rsid w:val="2B3B53BD"/>
    <w:rsid w:val="2B54647E"/>
    <w:rsid w:val="2B6F0D7F"/>
    <w:rsid w:val="2B8716BD"/>
    <w:rsid w:val="2B8B76FF"/>
    <w:rsid w:val="2BD5034F"/>
    <w:rsid w:val="2BFA123F"/>
    <w:rsid w:val="2C4A7EE1"/>
    <w:rsid w:val="2C4F1B9F"/>
    <w:rsid w:val="2C934D84"/>
    <w:rsid w:val="2C9D5F65"/>
    <w:rsid w:val="2D025012"/>
    <w:rsid w:val="2D12039F"/>
    <w:rsid w:val="2D355E3C"/>
    <w:rsid w:val="2D3725E1"/>
    <w:rsid w:val="2D4178F0"/>
    <w:rsid w:val="2DAE631A"/>
    <w:rsid w:val="2DD877E0"/>
    <w:rsid w:val="2DE616C9"/>
    <w:rsid w:val="2DFC2451"/>
    <w:rsid w:val="2E0917A2"/>
    <w:rsid w:val="2E0A551A"/>
    <w:rsid w:val="2E3422F8"/>
    <w:rsid w:val="2E383E35"/>
    <w:rsid w:val="2E530C6F"/>
    <w:rsid w:val="2E6E566D"/>
    <w:rsid w:val="2E7F188E"/>
    <w:rsid w:val="2E8F1410"/>
    <w:rsid w:val="2EA414CB"/>
    <w:rsid w:val="2EBC0905"/>
    <w:rsid w:val="2EC73739"/>
    <w:rsid w:val="2EFB1B0E"/>
    <w:rsid w:val="2F4B7B98"/>
    <w:rsid w:val="2F5C684F"/>
    <w:rsid w:val="2FA21EAE"/>
    <w:rsid w:val="300E30A0"/>
    <w:rsid w:val="3014442E"/>
    <w:rsid w:val="307776D1"/>
    <w:rsid w:val="30862574"/>
    <w:rsid w:val="30A30315"/>
    <w:rsid w:val="30B631E1"/>
    <w:rsid w:val="30D649C4"/>
    <w:rsid w:val="30F009F7"/>
    <w:rsid w:val="311933AA"/>
    <w:rsid w:val="3135465C"/>
    <w:rsid w:val="317D15BB"/>
    <w:rsid w:val="31CF76F3"/>
    <w:rsid w:val="31D07E6C"/>
    <w:rsid w:val="31DA51AD"/>
    <w:rsid w:val="31F167D5"/>
    <w:rsid w:val="322C6574"/>
    <w:rsid w:val="323F65DA"/>
    <w:rsid w:val="32412074"/>
    <w:rsid w:val="32515B4E"/>
    <w:rsid w:val="32BB6DE3"/>
    <w:rsid w:val="32DE0199"/>
    <w:rsid w:val="333C2963"/>
    <w:rsid w:val="3352350B"/>
    <w:rsid w:val="335A4D82"/>
    <w:rsid w:val="335B2774"/>
    <w:rsid w:val="33613647"/>
    <w:rsid w:val="33A4642E"/>
    <w:rsid w:val="33C63C91"/>
    <w:rsid w:val="33D10FB5"/>
    <w:rsid w:val="33D4039C"/>
    <w:rsid w:val="33D47E05"/>
    <w:rsid w:val="3413677D"/>
    <w:rsid w:val="34232E92"/>
    <w:rsid w:val="342B544B"/>
    <w:rsid w:val="345E036E"/>
    <w:rsid w:val="346911EC"/>
    <w:rsid w:val="34713838"/>
    <w:rsid w:val="34C47852"/>
    <w:rsid w:val="34D81ECE"/>
    <w:rsid w:val="34DE1E4F"/>
    <w:rsid w:val="34F07DB1"/>
    <w:rsid w:val="354D5BFB"/>
    <w:rsid w:val="35647C06"/>
    <w:rsid w:val="358523A3"/>
    <w:rsid w:val="359009FB"/>
    <w:rsid w:val="35A866C4"/>
    <w:rsid w:val="35A87466"/>
    <w:rsid w:val="35BF4E3C"/>
    <w:rsid w:val="35D354B8"/>
    <w:rsid w:val="35D4025C"/>
    <w:rsid w:val="35D408E8"/>
    <w:rsid w:val="362666BC"/>
    <w:rsid w:val="36513CE6"/>
    <w:rsid w:val="36681030"/>
    <w:rsid w:val="368A6B11"/>
    <w:rsid w:val="36BE6EA2"/>
    <w:rsid w:val="37052D23"/>
    <w:rsid w:val="37085B1F"/>
    <w:rsid w:val="372E04CB"/>
    <w:rsid w:val="375F2433"/>
    <w:rsid w:val="379A7F64"/>
    <w:rsid w:val="37A329DC"/>
    <w:rsid w:val="37C4673A"/>
    <w:rsid w:val="386C12AB"/>
    <w:rsid w:val="389B393F"/>
    <w:rsid w:val="38E070F2"/>
    <w:rsid w:val="390D33AB"/>
    <w:rsid w:val="391E6D06"/>
    <w:rsid w:val="39406294"/>
    <w:rsid w:val="39CA4CB2"/>
    <w:rsid w:val="39DE54F4"/>
    <w:rsid w:val="3A074847"/>
    <w:rsid w:val="3A371445"/>
    <w:rsid w:val="3A704957"/>
    <w:rsid w:val="3A830B2E"/>
    <w:rsid w:val="3AA90FE6"/>
    <w:rsid w:val="3AA9318F"/>
    <w:rsid w:val="3AB62DA0"/>
    <w:rsid w:val="3B0A330F"/>
    <w:rsid w:val="3B196D9D"/>
    <w:rsid w:val="3B351E28"/>
    <w:rsid w:val="3B427E5C"/>
    <w:rsid w:val="3B585B17"/>
    <w:rsid w:val="3B7D3FD5"/>
    <w:rsid w:val="3B823DDF"/>
    <w:rsid w:val="3B84690C"/>
    <w:rsid w:val="3B914B85"/>
    <w:rsid w:val="3B9B59E2"/>
    <w:rsid w:val="3BA40D5C"/>
    <w:rsid w:val="3BD827B4"/>
    <w:rsid w:val="3BE707EB"/>
    <w:rsid w:val="3C237ED3"/>
    <w:rsid w:val="3CAA596A"/>
    <w:rsid w:val="3CAF1D22"/>
    <w:rsid w:val="3CB1587B"/>
    <w:rsid w:val="3CB735F2"/>
    <w:rsid w:val="3D186684"/>
    <w:rsid w:val="3D363C36"/>
    <w:rsid w:val="3D477BF1"/>
    <w:rsid w:val="3D58310C"/>
    <w:rsid w:val="3D670293"/>
    <w:rsid w:val="3D6C08E2"/>
    <w:rsid w:val="3D7309E6"/>
    <w:rsid w:val="3D8B2178"/>
    <w:rsid w:val="3DAE1A1E"/>
    <w:rsid w:val="3DB34909"/>
    <w:rsid w:val="3DD115F5"/>
    <w:rsid w:val="3DE435F0"/>
    <w:rsid w:val="3DE5122C"/>
    <w:rsid w:val="3DF37E53"/>
    <w:rsid w:val="3E380B54"/>
    <w:rsid w:val="3E424EE0"/>
    <w:rsid w:val="3E605F29"/>
    <w:rsid w:val="3E6A1205"/>
    <w:rsid w:val="3E740EBA"/>
    <w:rsid w:val="3EC86B10"/>
    <w:rsid w:val="3ED26DE9"/>
    <w:rsid w:val="3EED17D0"/>
    <w:rsid w:val="3F093CDD"/>
    <w:rsid w:val="3F0C0304"/>
    <w:rsid w:val="3F774839"/>
    <w:rsid w:val="3F7F3659"/>
    <w:rsid w:val="3F8A0269"/>
    <w:rsid w:val="3F9B06C8"/>
    <w:rsid w:val="3FA806EF"/>
    <w:rsid w:val="3FEC147E"/>
    <w:rsid w:val="3FFD2F68"/>
    <w:rsid w:val="40152228"/>
    <w:rsid w:val="40376375"/>
    <w:rsid w:val="4051112F"/>
    <w:rsid w:val="40A54167"/>
    <w:rsid w:val="40AB66E9"/>
    <w:rsid w:val="40D6427E"/>
    <w:rsid w:val="40D70587"/>
    <w:rsid w:val="412732B7"/>
    <w:rsid w:val="4127791F"/>
    <w:rsid w:val="41281794"/>
    <w:rsid w:val="413C1FDF"/>
    <w:rsid w:val="4151103E"/>
    <w:rsid w:val="416D399E"/>
    <w:rsid w:val="417A65A3"/>
    <w:rsid w:val="41806A69"/>
    <w:rsid w:val="418C651A"/>
    <w:rsid w:val="41B0259C"/>
    <w:rsid w:val="41B16D79"/>
    <w:rsid w:val="41BC6F1C"/>
    <w:rsid w:val="41EF2363"/>
    <w:rsid w:val="41F45E52"/>
    <w:rsid w:val="41F77860"/>
    <w:rsid w:val="42100EF9"/>
    <w:rsid w:val="42134546"/>
    <w:rsid w:val="424A4B98"/>
    <w:rsid w:val="42581D3A"/>
    <w:rsid w:val="427E2307"/>
    <w:rsid w:val="42815E81"/>
    <w:rsid w:val="42A653BA"/>
    <w:rsid w:val="42D31F27"/>
    <w:rsid w:val="42DA5063"/>
    <w:rsid w:val="42ED2EA4"/>
    <w:rsid w:val="42F6649D"/>
    <w:rsid w:val="42FE0080"/>
    <w:rsid w:val="43100A85"/>
    <w:rsid w:val="43315D2E"/>
    <w:rsid w:val="43670C99"/>
    <w:rsid w:val="43824A1C"/>
    <w:rsid w:val="43993170"/>
    <w:rsid w:val="43D110E1"/>
    <w:rsid w:val="43E873C9"/>
    <w:rsid w:val="43F00151"/>
    <w:rsid w:val="43FE2FD4"/>
    <w:rsid w:val="4469669F"/>
    <w:rsid w:val="44905B1F"/>
    <w:rsid w:val="44A85002"/>
    <w:rsid w:val="4508410A"/>
    <w:rsid w:val="45316885"/>
    <w:rsid w:val="456F077F"/>
    <w:rsid w:val="45840F01"/>
    <w:rsid w:val="45A95EE9"/>
    <w:rsid w:val="45DC1C5F"/>
    <w:rsid w:val="45FB0F21"/>
    <w:rsid w:val="46020B59"/>
    <w:rsid w:val="46167166"/>
    <w:rsid w:val="4636719A"/>
    <w:rsid w:val="464A0752"/>
    <w:rsid w:val="46DC2BD2"/>
    <w:rsid w:val="47200EE3"/>
    <w:rsid w:val="47435AC2"/>
    <w:rsid w:val="47544B78"/>
    <w:rsid w:val="47587AF7"/>
    <w:rsid w:val="47745A86"/>
    <w:rsid w:val="477B2160"/>
    <w:rsid w:val="479B1265"/>
    <w:rsid w:val="47BC11DC"/>
    <w:rsid w:val="47CB7671"/>
    <w:rsid w:val="47E239AC"/>
    <w:rsid w:val="47E32C0C"/>
    <w:rsid w:val="47F72214"/>
    <w:rsid w:val="480F4B73"/>
    <w:rsid w:val="48126351"/>
    <w:rsid w:val="48253782"/>
    <w:rsid w:val="48435459"/>
    <w:rsid w:val="48741AB6"/>
    <w:rsid w:val="487B2624"/>
    <w:rsid w:val="48B14AB8"/>
    <w:rsid w:val="48C52312"/>
    <w:rsid w:val="48DB1B35"/>
    <w:rsid w:val="48DB38E3"/>
    <w:rsid w:val="48F826E7"/>
    <w:rsid w:val="49001B5E"/>
    <w:rsid w:val="491B1FA1"/>
    <w:rsid w:val="49376DB0"/>
    <w:rsid w:val="49535B70"/>
    <w:rsid w:val="496271AF"/>
    <w:rsid w:val="49804BB7"/>
    <w:rsid w:val="49826DCB"/>
    <w:rsid w:val="499013E7"/>
    <w:rsid w:val="499855AA"/>
    <w:rsid w:val="49C8088A"/>
    <w:rsid w:val="4A301C93"/>
    <w:rsid w:val="4A3302AB"/>
    <w:rsid w:val="4A3749D0"/>
    <w:rsid w:val="4A7B537E"/>
    <w:rsid w:val="4A834E68"/>
    <w:rsid w:val="4AC85D49"/>
    <w:rsid w:val="4AE308A9"/>
    <w:rsid w:val="4B1F3F5B"/>
    <w:rsid w:val="4B260F2D"/>
    <w:rsid w:val="4B2E23F0"/>
    <w:rsid w:val="4B2E418D"/>
    <w:rsid w:val="4B4F20F9"/>
    <w:rsid w:val="4B9A1456"/>
    <w:rsid w:val="4BA32C82"/>
    <w:rsid w:val="4BC8539A"/>
    <w:rsid w:val="4BD022FD"/>
    <w:rsid w:val="4BE70627"/>
    <w:rsid w:val="4C0A5AE1"/>
    <w:rsid w:val="4C130AB8"/>
    <w:rsid w:val="4C393C27"/>
    <w:rsid w:val="4C5A284D"/>
    <w:rsid w:val="4C5C0673"/>
    <w:rsid w:val="4C8A6423"/>
    <w:rsid w:val="4CB96B43"/>
    <w:rsid w:val="4CC410A6"/>
    <w:rsid w:val="4CC75FCC"/>
    <w:rsid w:val="4CC87A5E"/>
    <w:rsid w:val="4CD63947"/>
    <w:rsid w:val="4CFC49F4"/>
    <w:rsid w:val="4D073D73"/>
    <w:rsid w:val="4D1B69A4"/>
    <w:rsid w:val="4D1E27BA"/>
    <w:rsid w:val="4D23574A"/>
    <w:rsid w:val="4D4C4DB0"/>
    <w:rsid w:val="4D700A9E"/>
    <w:rsid w:val="4D7322D5"/>
    <w:rsid w:val="4DA93FB0"/>
    <w:rsid w:val="4DB837D6"/>
    <w:rsid w:val="4DD44293"/>
    <w:rsid w:val="4DD7034C"/>
    <w:rsid w:val="4DE312CB"/>
    <w:rsid w:val="4DF5318E"/>
    <w:rsid w:val="4E1F4862"/>
    <w:rsid w:val="4E2E4393"/>
    <w:rsid w:val="4E35690B"/>
    <w:rsid w:val="4E535EF2"/>
    <w:rsid w:val="4F08773C"/>
    <w:rsid w:val="4F1638C7"/>
    <w:rsid w:val="4F31409F"/>
    <w:rsid w:val="4F443F90"/>
    <w:rsid w:val="4F5E670E"/>
    <w:rsid w:val="4F846A83"/>
    <w:rsid w:val="4F895E47"/>
    <w:rsid w:val="4F896D48"/>
    <w:rsid w:val="4FC0482A"/>
    <w:rsid w:val="4FF9121F"/>
    <w:rsid w:val="4FFF6109"/>
    <w:rsid w:val="50070E2C"/>
    <w:rsid w:val="501112F3"/>
    <w:rsid w:val="504B57F2"/>
    <w:rsid w:val="505162C9"/>
    <w:rsid w:val="507619E1"/>
    <w:rsid w:val="507B3E81"/>
    <w:rsid w:val="50C62BC7"/>
    <w:rsid w:val="50CF01D2"/>
    <w:rsid w:val="50F72A66"/>
    <w:rsid w:val="5123368C"/>
    <w:rsid w:val="5130747C"/>
    <w:rsid w:val="5140163F"/>
    <w:rsid w:val="515C765A"/>
    <w:rsid w:val="515D00F2"/>
    <w:rsid w:val="51705511"/>
    <w:rsid w:val="518A40F8"/>
    <w:rsid w:val="51905BB3"/>
    <w:rsid w:val="51946FCB"/>
    <w:rsid w:val="51DD796B"/>
    <w:rsid w:val="51DF373B"/>
    <w:rsid w:val="51E95740"/>
    <w:rsid w:val="51EB2DE9"/>
    <w:rsid w:val="52632790"/>
    <w:rsid w:val="52795312"/>
    <w:rsid w:val="52D970E6"/>
    <w:rsid w:val="52EF4CB5"/>
    <w:rsid w:val="52F959F0"/>
    <w:rsid w:val="52FB705C"/>
    <w:rsid w:val="5302488E"/>
    <w:rsid w:val="53136173"/>
    <w:rsid w:val="534B12B7"/>
    <w:rsid w:val="539A4AC7"/>
    <w:rsid w:val="541A085B"/>
    <w:rsid w:val="541D1254"/>
    <w:rsid w:val="542631B6"/>
    <w:rsid w:val="54295E4B"/>
    <w:rsid w:val="5447483C"/>
    <w:rsid w:val="544E58B1"/>
    <w:rsid w:val="5458228C"/>
    <w:rsid w:val="54785EAD"/>
    <w:rsid w:val="54942CAE"/>
    <w:rsid w:val="549C03CB"/>
    <w:rsid w:val="54A61722"/>
    <w:rsid w:val="54B31FAF"/>
    <w:rsid w:val="54E0475B"/>
    <w:rsid w:val="55326D63"/>
    <w:rsid w:val="555D1A10"/>
    <w:rsid w:val="55B03304"/>
    <w:rsid w:val="56356D29"/>
    <w:rsid w:val="563B3C13"/>
    <w:rsid w:val="568455BA"/>
    <w:rsid w:val="56A20EA8"/>
    <w:rsid w:val="56A65531"/>
    <w:rsid w:val="56AC4A78"/>
    <w:rsid w:val="56B539C6"/>
    <w:rsid w:val="56DB16B9"/>
    <w:rsid w:val="570A3D11"/>
    <w:rsid w:val="57293D77"/>
    <w:rsid w:val="577A3463"/>
    <w:rsid w:val="57C77E54"/>
    <w:rsid w:val="57D00325"/>
    <w:rsid w:val="57E36310"/>
    <w:rsid w:val="57F967AD"/>
    <w:rsid w:val="58052975"/>
    <w:rsid w:val="584D1A65"/>
    <w:rsid w:val="584F5C44"/>
    <w:rsid w:val="587130A7"/>
    <w:rsid w:val="587D0513"/>
    <w:rsid w:val="588C0756"/>
    <w:rsid w:val="589D58CA"/>
    <w:rsid w:val="58E525CA"/>
    <w:rsid w:val="593D045A"/>
    <w:rsid w:val="595C5D13"/>
    <w:rsid w:val="5960739E"/>
    <w:rsid w:val="596D44F1"/>
    <w:rsid w:val="59896D0A"/>
    <w:rsid w:val="59AC5554"/>
    <w:rsid w:val="59AC7302"/>
    <w:rsid w:val="59B72684"/>
    <w:rsid w:val="59E0527F"/>
    <w:rsid w:val="5A0D59FE"/>
    <w:rsid w:val="5A2329C6"/>
    <w:rsid w:val="5A386DE8"/>
    <w:rsid w:val="5A421A14"/>
    <w:rsid w:val="5A9579AE"/>
    <w:rsid w:val="5AC468CD"/>
    <w:rsid w:val="5B342B9A"/>
    <w:rsid w:val="5B4377F2"/>
    <w:rsid w:val="5B5953B0"/>
    <w:rsid w:val="5B5F03A4"/>
    <w:rsid w:val="5B630802"/>
    <w:rsid w:val="5B644229"/>
    <w:rsid w:val="5B807F68"/>
    <w:rsid w:val="5B834092"/>
    <w:rsid w:val="5BA72CE5"/>
    <w:rsid w:val="5BF0069B"/>
    <w:rsid w:val="5C034D53"/>
    <w:rsid w:val="5C1765AF"/>
    <w:rsid w:val="5C757E7F"/>
    <w:rsid w:val="5D2C0C74"/>
    <w:rsid w:val="5D2C615D"/>
    <w:rsid w:val="5D635F29"/>
    <w:rsid w:val="5D6F018D"/>
    <w:rsid w:val="5DAA158A"/>
    <w:rsid w:val="5E1D6F56"/>
    <w:rsid w:val="5E4D2736"/>
    <w:rsid w:val="5E52187F"/>
    <w:rsid w:val="5E5F0DE7"/>
    <w:rsid w:val="5E6A13CD"/>
    <w:rsid w:val="5E705D15"/>
    <w:rsid w:val="5E93326C"/>
    <w:rsid w:val="5E9F1A7A"/>
    <w:rsid w:val="5EFB4BA4"/>
    <w:rsid w:val="5EFD389C"/>
    <w:rsid w:val="5F025452"/>
    <w:rsid w:val="5F490D33"/>
    <w:rsid w:val="5F5426EE"/>
    <w:rsid w:val="5F5F46B5"/>
    <w:rsid w:val="5F773F0E"/>
    <w:rsid w:val="5FB25360"/>
    <w:rsid w:val="5FBA3CC0"/>
    <w:rsid w:val="5FD90D61"/>
    <w:rsid w:val="60177697"/>
    <w:rsid w:val="602329DB"/>
    <w:rsid w:val="602A0F80"/>
    <w:rsid w:val="607777D6"/>
    <w:rsid w:val="60A26D69"/>
    <w:rsid w:val="60BC76A1"/>
    <w:rsid w:val="60D50B5B"/>
    <w:rsid w:val="610B7637"/>
    <w:rsid w:val="612279BA"/>
    <w:rsid w:val="615F5624"/>
    <w:rsid w:val="61C25AC1"/>
    <w:rsid w:val="61D215CF"/>
    <w:rsid w:val="625C563D"/>
    <w:rsid w:val="626A1704"/>
    <w:rsid w:val="627921C2"/>
    <w:rsid w:val="62A50D92"/>
    <w:rsid w:val="62B362C8"/>
    <w:rsid w:val="62B64D4D"/>
    <w:rsid w:val="62C1330E"/>
    <w:rsid w:val="62DD22DA"/>
    <w:rsid w:val="6342085E"/>
    <w:rsid w:val="636F415C"/>
    <w:rsid w:val="63732C3E"/>
    <w:rsid w:val="639037F0"/>
    <w:rsid w:val="640146EE"/>
    <w:rsid w:val="64491C09"/>
    <w:rsid w:val="644F33DD"/>
    <w:rsid w:val="646126CB"/>
    <w:rsid w:val="648B3FB8"/>
    <w:rsid w:val="64917820"/>
    <w:rsid w:val="64AA1CC5"/>
    <w:rsid w:val="64B74857"/>
    <w:rsid w:val="64DA18C8"/>
    <w:rsid w:val="65043CE2"/>
    <w:rsid w:val="6528341F"/>
    <w:rsid w:val="652A557F"/>
    <w:rsid w:val="656B2909"/>
    <w:rsid w:val="65A3045D"/>
    <w:rsid w:val="65D97752"/>
    <w:rsid w:val="65E25E59"/>
    <w:rsid w:val="65F242EE"/>
    <w:rsid w:val="65FC516D"/>
    <w:rsid w:val="661E50E3"/>
    <w:rsid w:val="662D3578"/>
    <w:rsid w:val="662D5327"/>
    <w:rsid w:val="66307F76"/>
    <w:rsid w:val="66580EAF"/>
    <w:rsid w:val="66694D0D"/>
    <w:rsid w:val="667B4472"/>
    <w:rsid w:val="667C7BBB"/>
    <w:rsid w:val="6692787F"/>
    <w:rsid w:val="66F041A8"/>
    <w:rsid w:val="67002A3B"/>
    <w:rsid w:val="670C7632"/>
    <w:rsid w:val="6721178A"/>
    <w:rsid w:val="6739399A"/>
    <w:rsid w:val="673F39DE"/>
    <w:rsid w:val="674C5D22"/>
    <w:rsid w:val="67663AF8"/>
    <w:rsid w:val="67762CFD"/>
    <w:rsid w:val="677A678D"/>
    <w:rsid w:val="679847C2"/>
    <w:rsid w:val="679876F1"/>
    <w:rsid w:val="67B71C9E"/>
    <w:rsid w:val="67CF7349"/>
    <w:rsid w:val="67DF08A2"/>
    <w:rsid w:val="67E75936"/>
    <w:rsid w:val="67F02AB0"/>
    <w:rsid w:val="68011379"/>
    <w:rsid w:val="68032ACC"/>
    <w:rsid w:val="68252C37"/>
    <w:rsid w:val="68694610"/>
    <w:rsid w:val="687C07E7"/>
    <w:rsid w:val="68817BAC"/>
    <w:rsid w:val="689A5E59"/>
    <w:rsid w:val="68A11FFC"/>
    <w:rsid w:val="68A13DAA"/>
    <w:rsid w:val="68A94E70"/>
    <w:rsid w:val="68CA77A4"/>
    <w:rsid w:val="68EE72DF"/>
    <w:rsid w:val="68FB170C"/>
    <w:rsid w:val="69450BD9"/>
    <w:rsid w:val="69485FEA"/>
    <w:rsid w:val="69677DC0"/>
    <w:rsid w:val="697D0373"/>
    <w:rsid w:val="698D309A"/>
    <w:rsid w:val="69937EC7"/>
    <w:rsid w:val="699833FF"/>
    <w:rsid w:val="69C04704"/>
    <w:rsid w:val="69D64558"/>
    <w:rsid w:val="69E77473"/>
    <w:rsid w:val="6A042548"/>
    <w:rsid w:val="6A0C16F7"/>
    <w:rsid w:val="6A471EFD"/>
    <w:rsid w:val="6A4E1D0F"/>
    <w:rsid w:val="6A7E2C0A"/>
    <w:rsid w:val="6AAA163C"/>
    <w:rsid w:val="6AB57116"/>
    <w:rsid w:val="6AC96B77"/>
    <w:rsid w:val="6AD541DF"/>
    <w:rsid w:val="6AED6375"/>
    <w:rsid w:val="6B17424A"/>
    <w:rsid w:val="6B2218FA"/>
    <w:rsid w:val="6B686C59"/>
    <w:rsid w:val="6B691672"/>
    <w:rsid w:val="6B91384B"/>
    <w:rsid w:val="6BB401EB"/>
    <w:rsid w:val="6BE97F42"/>
    <w:rsid w:val="6BEE7306"/>
    <w:rsid w:val="6BF07522"/>
    <w:rsid w:val="6C3F3CAC"/>
    <w:rsid w:val="6C417D7E"/>
    <w:rsid w:val="6C517895"/>
    <w:rsid w:val="6C5528BD"/>
    <w:rsid w:val="6C5E6A51"/>
    <w:rsid w:val="6C6513C3"/>
    <w:rsid w:val="6C744268"/>
    <w:rsid w:val="6C8E2897"/>
    <w:rsid w:val="6C913746"/>
    <w:rsid w:val="6CB00A5F"/>
    <w:rsid w:val="6CD62D03"/>
    <w:rsid w:val="6CD97FB6"/>
    <w:rsid w:val="6CE1330F"/>
    <w:rsid w:val="6D0E5050"/>
    <w:rsid w:val="6D1C19EE"/>
    <w:rsid w:val="6D4B22B8"/>
    <w:rsid w:val="6D5C2995"/>
    <w:rsid w:val="6D930013"/>
    <w:rsid w:val="6E1A1656"/>
    <w:rsid w:val="6E231DD6"/>
    <w:rsid w:val="6E2A4841"/>
    <w:rsid w:val="6E3F2AAB"/>
    <w:rsid w:val="6E5518BE"/>
    <w:rsid w:val="6E5A5288"/>
    <w:rsid w:val="6E616BF4"/>
    <w:rsid w:val="6E777A87"/>
    <w:rsid w:val="6E9F108C"/>
    <w:rsid w:val="6EE013EE"/>
    <w:rsid w:val="6EE079F1"/>
    <w:rsid w:val="6EE42C42"/>
    <w:rsid w:val="6EF56BFD"/>
    <w:rsid w:val="6F052E4D"/>
    <w:rsid w:val="6F0F08A5"/>
    <w:rsid w:val="6F437969"/>
    <w:rsid w:val="6F7F7CB0"/>
    <w:rsid w:val="6F8D6E36"/>
    <w:rsid w:val="6FA052B9"/>
    <w:rsid w:val="6FB70357"/>
    <w:rsid w:val="6FB95E7D"/>
    <w:rsid w:val="6FD809F9"/>
    <w:rsid w:val="6FE0165C"/>
    <w:rsid w:val="6FE10C44"/>
    <w:rsid w:val="70026FB8"/>
    <w:rsid w:val="70222744"/>
    <w:rsid w:val="705362D1"/>
    <w:rsid w:val="706D25DF"/>
    <w:rsid w:val="706D2B21"/>
    <w:rsid w:val="707B1384"/>
    <w:rsid w:val="70857A34"/>
    <w:rsid w:val="70985D3C"/>
    <w:rsid w:val="71047C73"/>
    <w:rsid w:val="7109004F"/>
    <w:rsid w:val="71103167"/>
    <w:rsid w:val="71160C93"/>
    <w:rsid w:val="712A02C5"/>
    <w:rsid w:val="712E56F7"/>
    <w:rsid w:val="71691ABB"/>
    <w:rsid w:val="71754026"/>
    <w:rsid w:val="71801BFB"/>
    <w:rsid w:val="71AA1F21"/>
    <w:rsid w:val="71AE1AEA"/>
    <w:rsid w:val="71B41A63"/>
    <w:rsid w:val="71CF3B6C"/>
    <w:rsid w:val="71F80F33"/>
    <w:rsid w:val="7205184D"/>
    <w:rsid w:val="722922C6"/>
    <w:rsid w:val="72477770"/>
    <w:rsid w:val="72AE3C93"/>
    <w:rsid w:val="72B8066E"/>
    <w:rsid w:val="72B9542A"/>
    <w:rsid w:val="72CB03A1"/>
    <w:rsid w:val="73012015"/>
    <w:rsid w:val="731E3BC5"/>
    <w:rsid w:val="732D4B5D"/>
    <w:rsid w:val="73342900"/>
    <w:rsid w:val="73353292"/>
    <w:rsid w:val="73393C88"/>
    <w:rsid w:val="733E6DC5"/>
    <w:rsid w:val="735B02C3"/>
    <w:rsid w:val="7362513F"/>
    <w:rsid w:val="73771D49"/>
    <w:rsid w:val="73A1354E"/>
    <w:rsid w:val="73CD1EF7"/>
    <w:rsid w:val="740F0761"/>
    <w:rsid w:val="74277859"/>
    <w:rsid w:val="74357964"/>
    <w:rsid w:val="746E5488"/>
    <w:rsid w:val="74811765"/>
    <w:rsid w:val="749E3893"/>
    <w:rsid w:val="74A11E7D"/>
    <w:rsid w:val="74DD6078"/>
    <w:rsid w:val="750F6CB7"/>
    <w:rsid w:val="75590B0A"/>
    <w:rsid w:val="7582279F"/>
    <w:rsid w:val="75843EB5"/>
    <w:rsid w:val="75BB71AF"/>
    <w:rsid w:val="75D27C98"/>
    <w:rsid w:val="75EB18CD"/>
    <w:rsid w:val="75F01962"/>
    <w:rsid w:val="760E19DF"/>
    <w:rsid w:val="761D557D"/>
    <w:rsid w:val="76557F3E"/>
    <w:rsid w:val="76676A53"/>
    <w:rsid w:val="76A3294D"/>
    <w:rsid w:val="76B620A1"/>
    <w:rsid w:val="76F20814"/>
    <w:rsid w:val="77091498"/>
    <w:rsid w:val="77462524"/>
    <w:rsid w:val="77860D3A"/>
    <w:rsid w:val="77892AD7"/>
    <w:rsid w:val="779A6594"/>
    <w:rsid w:val="77A113FB"/>
    <w:rsid w:val="77A21064"/>
    <w:rsid w:val="77E34EB2"/>
    <w:rsid w:val="781564B8"/>
    <w:rsid w:val="78202F3D"/>
    <w:rsid w:val="78224ACF"/>
    <w:rsid w:val="7825297D"/>
    <w:rsid w:val="7840538D"/>
    <w:rsid w:val="78970A00"/>
    <w:rsid w:val="78BD078C"/>
    <w:rsid w:val="78CD6DCC"/>
    <w:rsid w:val="78D07CAF"/>
    <w:rsid w:val="78DE12D7"/>
    <w:rsid w:val="78E977D3"/>
    <w:rsid w:val="79074E05"/>
    <w:rsid w:val="790811D4"/>
    <w:rsid w:val="79210683"/>
    <w:rsid w:val="794964C4"/>
    <w:rsid w:val="79651313"/>
    <w:rsid w:val="7972370D"/>
    <w:rsid w:val="799C3465"/>
    <w:rsid w:val="79A03E0B"/>
    <w:rsid w:val="79B14EC4"/>
    <w:rsid w:val="79DD1288"/>
    <w:rsid w:val="79F42944"/>
    <w:rsid w:val="7A2A6B4A"/>
    <w:rsid w:val="7A3C1B84"/>
    <w:rsid w:val="7A681070"/>
    <w:rsid w:val="7A7A6828"/>
    <w:rsid w:val="7A860C7C"/>
    <w:rsid w:val="7AB879FE"/>
    <w:rsid w:val="7B22521E"/>
    <w:rsid w:val="7B3264DD"/>
    <w:rsid w:val="7B5D0004"/>
    <w:rsid w:val="7B7B25D9"/>
    <w:rsid w:val="7B81188A"/>
    <w:rsid w:val="7B9E2902"/>
    <w:rsid w:val="7BAE6AB2"/>
    <w:rsid w:val="7BC854E2"/>
    <w:rsid w:val="7BE2675B"/>
    <w:rsid w:val="7C0562EC"/>
    <w:rsid w:val="7C067A45"/>
    <w:rsid w:val="7C1D1542"/>
    <w:rsid w:val="7C27683F"/>
    <w:rsid w:val="7C4E2339"/>
    <w:rsid w:val="7C763BEE"/>
    <w:rsid w:val="7CB14B4D"/>
    <w:rsid w:val="7CB41EA6"/>
    <w:rsid w:val="7CF26969"/>
    <w:rsid w:val="7CF75832"/>
    <w:rsid w:val="7D25523C"/>
    <w:rsid w:val="7D697134"/>
    <w:rsid w:val="7DB23041"/>
    <w:rsid w:val="7DB54128"/>
    <w:rsid w:val="7E0E3838"/>
    <w:rsid w:val="7E577FCC"/>
    <w:rsid w:val="7E5F7809"/>
    <w:rsid w:val="7E6E7AAC"/>
    <w:rsid w:val="7E8E417B"/>
    <w:rsid w:val="7ED56C53"/>
    <w:rsid w:val="7EE509FB"/>
    <w:rsid w:val="7EEA1BAF"/>
    <w:rsid w:val="7F006EDF"/>
    <w:rsid w:val="7F3855F3"/>
    <w:rsid w:val="7F397F86"/>
    <w:rsid w:val="7F5460D4"/>
    <w:rsid w:val="7F552892"/>
    <w:rsid w:val="7F8C2C66"/>
    <w:rsid w:val="7F945FBF"/>
    <w:rsid w:val="7FCA735A"/>
    <w:rsid w:val="7FCC57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semiHidden="0"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jc w:val="center"/>
      <w:outlineLvl w:val="0"/>
    </w:pPr>
    <w:rPr>
      <w:b/>
      <w:bCs/>
      <w:kern w:val="44"/>
      <w:sz w:val="36"/>
      <w:szCs w:val="44"/>
    </w:rPr>
  </w:style>
  <w:style w:type="paragraph" w:styleId="3">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caption"/>
    <w:basedOn w:val="1"/>
    <w:next w:val="1"/>
    <w:qFormat/>
    <w:uiPriority w:val="35"/>
    <w:pPr>
      <w:spacing w:before="152" w:after="160"/>
    </w:pPr>
    <w:rPr>
      <w:rFonts w:ascii="Arial" w:hAnsi="Arial" w:eastAsia="黑体" w:cs="Arial"/>
      <w:sz w:val="20"/>
      <w:szCs w:val="20"/>
    </w:rPr>
  </w:style>
  <w:style w:type="paragraph" w:styleId="8">
    <w:name w:val="Document Map"/>
    <w:basedOn w:val="1"/>
    <w:link w:val="72"/>
    <w:qFormat/>
    <w:uiPriority w:val="0"/>
    <w:pPr>
      <w:shd w:val="clear" w:color="auto" w:fill="000080"/>
    </w:pPr>
    <w:rPr>
      <w:sz w:val="24"/>
    </w:rPr>
  </w:style>
  <w:style w:type="paragraph" w:styleId="9">
    <w:name w:val="toa heading"/>
    <w:basedOn w:val="1"/>
    <w:next w:val="1"/>
    <w:qFormat/>
    <w:uiPriority w:val="99"/>
    <w:pPr>
      <w:spacing w:before="120"/>
    </w:pPr>
    <w:rPr>
      <w:rFonts w:ascii="Arial" w:hAnsi="Arial" w:eastAsia="宋体" w:cs="Arial"/>
      <w:sz w:val="24"/>
      <w:szCs w:val="24"/>
    </w:rPr>
  </w:style>
  <w:style w:type="paragraph" w:styleId="10">
    <w:name w:val="annotation text"/>
    <w:basedOn w:val="1"/>
    <w:link w:val="63"/>
    <w:qFormat/>
    <w:uiPriority w:val="0"/>
    <w:pPr>
      <w:jc w:val="left"/>
    </w:p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1"/>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4"/>
    <w:qFormat/>
    <w:uiPriority w:val="99"/>
    <w:rPr>
      <w:rFonts w:ascii="宋体" w:hAnsi="Courier New"/>
    </w:rPr>
  </w:style>
  <w:style w:type="paragraph" w:styleId="18">
    <w:name w:val="List Bullet 5"/>
    <w:basedOn w:val="1"/>
    <w:unhideWhenUsed/>
    <w:qFormat/>
    <w:uiPriority w:val="99"/>
    <w:pPr>
      <w:numPr>
        <w:ilvl w:val="0"/>
        <w:numId w:val="1"/>
      </w:numPr>
    </w:p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header"/>
    <w:basedOn w:val="1"/>
    <w:link w:val="61"/>
    <w:qFormat/>
    <w:uiPriority w:val="99"/>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List"/>
    <w:basedOn w:val="1"/>
    <w:qFormat/>
    <w:uiPriority w:val="99"/>
    <w:pPr>
      <w:ind w:left="420" w:hanging="420"/>
    </w:pPr>
    <w:rPr>
      <w:rFonts w:ascii="Times New Roman" w:hAnsi="Times New Roman" w:eastAsia="宋体" w:cs="Times New Roman"/>
      <w:szCs w:val="20"/>
    </w:rPr>
  </w:style>
  <w:style w:type="paragraph" w:styleId="28">
    <w:name w:val="toc 6"/>
    <w:basedOn w:val="1"/>
    <w:next w:val="1"/>
    <w:qFormat/>
    <w:uiPriority w:val="39"/>
    <w:pPr>
      <w:ind w:left="1200"/>
      <w:jc w:val="left"/>
    </w:pPr>
    <w:rPr>
      <w:rFonts w:ascii="Calibri" w:hAnsi="Calibri" w:eastAsia="宋体" w:cs="Times New Roman"/>
      <w:sz w:val="18"/>
      <w:szCs w:val="18"/>
    </w:rPr>
  </w:style>
  <w:style w:type="paragraph" w:styleId="29">
    <w:name w:val="Body Text Indent 3"/>
    <w:basedOn w:val="1"/>
    <w:link w:val="55"/>
    <w:qFormat/>
    <w:uiPriority w:val="0"/>
    <w:pPr>
      <w:spacing w:after="120"/>
      <w:ind w:left="420" w:leftChars="200"/>
    </w:pPr>
    <w:rPr>
      <w:sz w:val="16"/>
    </w:rPr>
  </w:style>
  <w:style w:type="paragraph" w:styleId="30">
    <w:name w:val="index 9"/>
    <w:basedOn w:val="1"/>
    <w:next w:val="1"/>
    <w:unhideWhenUsed/>
    <w:qFormat/>
    <w:uiPriority w:val="0"/>
    <w:pPr>
      <w:ind w:left="2520" w:hanging="280"/>
    </w:pPr>
    <w:rPr>
      <w:rFonts w:eastAsia="仿宋"/>
      <w:sz w:val="28"/>
    </w:rPr>
  </w:style>
  <w:style w:type="paragraph" w:styleId="31">
    <w:name w:val="toc 2"/>
    <w:basedOn w:val="1"/>
    <w:next w:val="1"/>
    <w:unhideWhenUsed/>
    <w:qFormat/>
    <w:uiPriority w:val="39"/>
    <w:pPr>
      <w:ind w:left="420" w:leftChars="200"/>
    </w:pPr>
    <w:rPr>
      <w:rFonts w:ascii="Calibri" w:hAnsi="Calibri" w:eastAsia="宋体" w:cs="Times New Roman"/>
      <w:szCs w:val="20"/>
    </w:rPr>
  </w:style>
  <w:style w:type="paragraph" w:styleId="32">
    <w:name w:val="toc 9"/>
    <w:basedOn w:val="1"/>
    <w:next w:val="1"/>
    <w:qFormat/>
    <w:uiPriority w:val="39"/>
    <w:pPr>
      <w:ind w:left="1920"/>
      <w:jc w:val="left"/>
    </w:pPr>
    <w:rPr>
      <w:rFonts w:ascii="Calibri" w:hAnsi="Calibri" w:eastAsia="宋体" w:cs="Times New Roman"/>
      <w:sz w:val="18"/>
      <w:szCs w:val="18"/>
    </w:rPr>
  </w:style>
  <w:style w:type="paragraph" w:styleId="33">
    <w:name w:val="Normal (Web)"/>
    <w:basedOn w:val="1"/>
    <w:qFormat/>
    <w:uiPriority w:val="99"/>
    <w:rPr>
      <w:rFonts w:ascii="Calibri" w:hAnsi="Calibri" w:eastAsia="宋体" w:cs="Times New Roman"/>
      <w:sz w:val="24"/>
      <w:szCs w:val="20"/>
    </w:rPr>
  </w:style>
  <w:style w:type="paragraph" w:styleId="34">
    <w:name w:val="index 1"/>
    <w:basedOn w:val="1"/>
    <w:next w:val="1"/>
    <w:qFormat/>
    <w:uiPriority w:val="99"/>
    <w:rPr>
      <w:rFonts w:ascii="Calibri" w:hAnsi="Calibri" w:eastAsia="宋体" w:cs="Times New Roman"/>
      <w:sz w:val="24"/>
      <w:szCs w:val="24"/>
    </w:rPr>
  </w:style>
  <w:style w:type="paragraph" w:styleId="35">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6">
    <w:name w:val="annotation subject"/>
    <w:basedOn w:val="10"/>
    <w:next w:val="10"/>
    <w:link w:val="54"/>
    <w:qFormat/>
    <w:uiPriority w:val="0"/>
    <w:rPr>
      <w:b/>
    </w:rPr>
  </w:style>
  <w:style w:type="paragraph" w:styleId="37">
    <w:name w:val="Body Text First Indent 2"/>
    <w:basedOn w:val="13"/>
    <w:semiHidden/>
    <w:qFormat/>
    <w:uiPriority w:val="99"/>
    <w:pPr>
      <w:spacing w:line="276" w:lineRule="auto"/>
      <w:ind w:firstLine="420" w:firstLineChars="200"/>
      <w:jc w:val="left"/>
    </w:pPr>
  </w:style>
  <w:style w:type="table" w:styleId="39">
    <w:name w:val="Table Grid"/>
    <w:basedOn w:val="38"/>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qFormat/>
    <w:uiPriority w:val="22"/>
    <w:rPr>
      <w:b/>
    </w:rPr>
  </w:style>
  <w:style w:type="character" w:styleId="42">
    <w:name w:val="page number"/>
    <w:basedOn w:val="40"/>
    <w:qFormat/>
    <w:uiPriority w:val="99"/>
    <w:rPr>
      <w:rFonts w:cs="Times New Roman"/>
    </w:rPr>
  </w:style>
  <w:style w:type="character" w:styleId="43">
    <w:name w:val="FollowedHyperlink"/>
    <w:basedOn w:val="40"/>
    <w:qFormat/>
    <w:uiPriority w:val="99"/>
    <w:rPr>
      <w:color w:val="800080"/>
      <w:u w:val="single"/>
    </w:rPr>
  </w:style>
  <w:style w:type="character" w:styleId="44">
    <w:name w:val="Emphasis"/>
    <w:qFormat/>
    <w:uiPriority w:val="99"/>
    <w:rPr>
      <w:rFonts w:cs="Times New Roman"/>
      <w:color w:val="auto"/>
    </w:rPr>
  </w:style>
  <w:style w:type="character" w:styleId="45">
    <w:name w:val="HTML Acronym"/>
    <w:basedOn w:val="40"/>
    <w:qFormat/>
    <w:uiPriority w:val="99"/>
  </w:style>
  <w:style w:type="character" w:styleId="46">
    <w:name w:val="Hyperlink"/>
    <w:basedOn w:val="40"/>
    <w:qFormat/>
    <w:uiPriority w:val="99"/>
    <w:rPr>
      <w:color w:val="1F4F88"/>
      <w:u w:val="none"/>
    </w:rPr>
  </w:style>
  <w:style w:type="character" w:styleId="47">
    <w:name w:val="annotation reference"/>
    <w:basedOn w:val="40"/>
    <w:qFormat/>
    <w:uiPriority w:val="99"/>
    <w:rPr>
      <w:sz w:val="21"/>
    </w:rPr>
  </w:style>
  <w:style w:type="paragraph" w:customStyle="1" w:styleId="48">
    <w:name w:val="首行缩进"/>
    <w:basedOn w:val="1"/>
    <w:qFormat/>
    <w:uiPriority w:val="0"/>
    <w:pPr>
      <w:ind w:firstLine="480" w:firstLineChars="200"/>
    </w:pPr>
    <w:rPr>
      <w:lang w:val="zh-CN"/>
    </w:rPr>
  </w:style>
  <w:style w:type="character" w:customStyle="1" w:styleId="49">
    <w:name w:val="标题 1 字符"/>
    <w:basedOn w:val="40"/>
    <w:link w:val="2"/>
    <w:qFormat/>
    <w:uiPriority w:val="99"/>
    <w:rPr>
      <w:rFonts w:ascii="Calibri" w:hAnsi="Calibri" w:eastAsia="宋体" w:cs="Times New Roman"/>
      <w:b/>
      <w:bCs/>
      <w:kern w:val="44"/>
      <w:sz w:val="36"/>
      <w:szCs w:val="44"/>
    </w:rPr>
  </w:style>
  <w:style w:type="character" w:customStyle="1" w:styleId="50">
    <w:name w:val="标题 2 字符"/>
    <w:basedOn w:val="40"/>
    <w:link w:val="3"/>
    <w:qFormat/>
    <w:uiPriority w:val="99"/>
    <w:rPr>
      <w:rFonts w:ascii="Arial" w:hAnsi="Arial" w:eastAsia="宋体" w:cs="Times New Roman"/>
      <w:b/>
      <w:bCs/>
      <w:sz w:val="24"/>
      <w:szCs w:val="32"/>
    </w:rPr>
  </w:style>
  <w:style w:type="character" w:customStyle="1" w:styleId="51">
    <w:name w:val="标题 3 字符"/>
    <w:basedOn w:val="40"/>
    <w:link w:val="4"/>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6"/>
    <w:qFormat/>
    <w:locked/>
    <w:uiPriority w:val="0"/>
    <w:rPr>
      <w:b/>
    </w:rPr>
  </w:style>
  <w:style w:type="character" w:customStyle="1" w:styleId="55">
    <w:name w:val="正文文本缩进 3 字符"/>
    <w:link w:val="29"/>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0"/>
    <w:qFormat/>
    <w:uiPriority w:val="0"/>
    <w:rPr>
      <w:rFonts w:cs="Times New Roman"/>
    </w:rPr>
  </w:style>
  <w:style w:type="character" w:customStyle="1" w:styleId="61">
    <w:name w:val="页眉 字符"/>
    <w:link w:val="24"/>
    <w:qFormat/>
    <w:locked/>
    <w:uiPriority w:val="99"/>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0"/>
    <w:qFormat/>
    <w:locked/>
    <w:uiPriority w:val="0"/>
  </w:style>
  <w:style w:type="character" w:customStyle="1" w:styleId="64">
    <w:name w:val="标题 字符"/>
    <w:link w:val="35"/>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8"/>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7"/>
    <w:qFormat/>
    <w:locked/>
    <w:uiPriority w:val="99"/>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0"/>
    <w:semiHidden/>
    <w:qFormat/>
    <w:uiPriority w:val="99"/>
  </w:style>
  <w:style w:type="character" w:customStyle="1" w:styleId="80">
    <w:name w:val="批注文字 字符11"/>
    <w:basedOn w:val="40"/>
    <w:qFormat/>
    <w:uiPriority w:val="0"/>
    <w:rPr>
      <w:rFonts w:cs="Times New Roman"/>
      <w:kern w:val="2"/>
      <w:sz w:val="21"/>
    </w:rPr>
  </w:style>
  <w:style w:type="character" w:customStyle="1" w:styleId="81">
    <w:name w:val="正文文本缩进 字符"/>
    <w:basedOn w:val="40"/>
    <w:link w:val="13"/>
    <w:qFormat/>
    <w:uiPriority w:val="99"/>
    <w:rPr>
      <w:rFonts w:ascii="Calibri" w:hAnsi="Calibri" w:eastAsia="宋体" w:cs="Times New Roman"/>
      <w:szCs w:val="20"/>
    </w:rPr>
  </w:style>
  <w:style w:type="character" w:customStyle="1" w:styleId="82">
    <w:name w:val="文档结构图 字符1"/>
    <w:basedOn w:val="40"/>
    <w:semiHidden/>
    <w:qFormat/>
    <w:uiPriority w:val="99"/>
    <w:rPr>
      <w:rFonts w:ascii="Microsoft YaHei UI" w:eastAsia="Microsoft YaHei UI"/>
      <w:sz w:val="18"/>
      <w:szCs w:val="18"/>
    </w:rPr>
  </w:style>
  <w:style w:type="character" w:customStyle="1" w:styleId="83">
    <w:name w:val="文档结构图 字符11"/>
    <w:basedOn w:val="40"/>
    <w:semiHidden/>
    <w:qFormat/>
    <w:uiPriority w:val="99"/>
    <w:rPr>
      <w:rFonts w:ascii="Microsoft YaHei UI" w:eastAsia="Microsoft YaHei UI" w:cs="Times New Roman"/>
      <w:kern w:val="2"/>
      <w:sz w:val="18"/>
      <w:szCs w:val="18"/>
    </w:rPr>
  </w:style>
  <w:style w:type="character" w:customStyle="1" w:styleId="84">
    <w:name w:val="正文文本 字符"/>
    <w:basedOn w:val="40"/>
    <w:link w:val="12"/>
    <w:qFormat/>
    <w:uiPriority w:val="99"/>
    <w:rPr>
      <w:rFonts w:ascii="Calibri" w:hAnsi="Calibri" w:eastAsia="新宋体" w:cs="Times New Roman"/>
      <w:szCs w:val="21"/>
    </w:rPr>
  </w:style>
  <w:style w:type="character" w:customStyle="1" w:styleId="85">
    <w:name w:val="纯文本 字符1"/>
    <w:basedOn w:val="40"/>
    <w:semiHidden/>
    <w:qFormat/>
    <w:uiPriority w:val="99"/>
    <w:rPr>
      <w:rFonts w:hAnsi="Courier New" w:cs="Courier New" w:asciiTheme="minorEastAsia"/>
    </w:rPr>
  </w:style>
  <w:style w:type="character" w:customStyle="1" w:styleId="86">
    <w:name w:val="纯文本 字符11"/>
    <w:basedOn w:val="40"/>
    <w:qFormat/>
    <w:uiPriority w:val="0"/>
    <w:rPr>
      <w:rFonts w:hAnsi="Courier New" w:cs="Courier New" w:asciiTheme="minorEastAsia" w:eastAsiaTheme="minorEastAsia"/>
      <w:kern w:val="2"/>
      <w:sz w:val="21"/>
    </w:rPr>
  </w:style>
  <w:style w:type="character" w:customStyle="1" w:styleId="87">
    <w:name w:val="页眉 字符1"/>
    <w:basedOn w:val="40"/>
    <w:semiHidden/>
    <w:qFormat/>
    <w:uiPriority w:val="99"/>
    <w:rPr>
      <w:sz w:val="18"/>
      <w:szCs w:val="18"/>
    </w:rPr>
  </w:style>
  <w:style w:type="character" w:customStyle="1" w:styleId="88">
    <w:name w:val="页眉 字符11"/>
    <w:basedOn w:val="40"/>
    <w:semiHidden/>
    <w:qFormat/>
    <w:uiPriority w:val="99"/>
    <w:rPr>
      <w:rFonts w:cs="Times New Roman"/>
      <w:kern w:val="2"/>
      <w:sz w:val="18"/>
      <w:szCs w:val="18"/>
    </w:rPr>
  </w:style>
  <w:style w:type="character" w:customStyle="1" w:styleId="89">
    <w:name w:val="批注框文本 字符1"/>
    <w:basedOn w:val="40"/>
    <w:semiHidden/>
    <w:qFormat/>
    <w:uiPriority w:val="99"/>
    <w:rPr>
      <w:sz w:val="18"/>
      <w:szCs w:val="18"/>
    </w:rPr>
  </w:style>
  <w:style w:type="character" w:customStyle="1" w:styleId="90">
    <w:name w:val="批注框文本 字符11"/>
    <w:basedOn w:val="40"/>
    <w:semiHidden/>
    <w:qFormat/>
    <w:uiPriority w:val="99"/>
    <w:rPr>
      <w:rFonts w:cs="Times New Roman"/>
      <w:kern w:val="2"/>
      <w:sz w:val="18"/>
      <w:szCs w:val="18"/>
    </w:rPr>
  </w:style>
  <w:style w:type="character" w:customStyle="1" w:styleId="91">
    <w:name w:val="日期 字符1"/>
    <w:basedOn w:val="40"/>
    <w:semiHidden/>
    <w:qFormat/>
    <w:uiPriority w:val="99"/>
  </w:style>
  <w:style w:type="character" w:customStyle="1" w:styleId="92">
    <w:name w:val="日期 字符11"/>
    <w:basedOn w:val="40"/>
    <w:semiHidden/>
    <w:qFormat/>
    <w:uiPriority w:val="99"/>
    <w:rPr>
      <w:rFonts w:cs="Times New Roman"/>
      <w:kern w:val="2"/>
      <w:sz w:val="21"/>
    </w:rPr>
  </w:style>
  <w:style w:type="character" w:customStyle="1" w:styleId="93">
    <w:name w:val="页脚 字符1"/>
    <w:basedOn w:val="40"/>
    <w:semiHidden/>
    <w:qFormat/>
    <w:uiPriority w:val="99"/>
    <w:rPr>
      <w:sz w:val="18"/>
      <w:szCs w:val="18"/>
    </w:rPr>
  </w:style>
  <w:style w:type="character" w:customStyle="1" w:styleId="94">
    <w:name w:val="页脚 字符11"/>
    <w:basedOn w:val="40"/>
    <w:semiHidden/>
    <w:qFormat/>
    <w:uiPriority w:val="99"/>
    <w:rPr>
      <w:rFonts w:cs="Times New Roman"/>
      <w:kern w:val="2"/>
      <w:sz w:val="18"/>
      <w:szCs w:val="18"/>
    </w:rPr>
  </w:style>
  <w:style w:type="character" w:customStyle="1" w:styleId="95">
    <w:name w:val="正文文本缩进 2 字符1"/>
    <w:basedOn w:val="40"/>
    <w:semiHidden/>
    <w:qFormat/>
    <w:uiPriority w:val="99"/>
  </w:style>
  <w:style w:type="character" w:customStyle="1" w:styleId="96">
    <w:name w:val="正文文本缩进 2 字符11"/>
    <w:basedOn w:val="40"/>
    <w:semiHidden/>
    <w:qFormat/>
    <w:uiPriority w:val="99"/>
    <w:rPr>
      <w:rFonts w:cs="Times New Roman"/>
      <w:kern w:val="2"/>
      <w:sz w:val="21"/>
    </w:rPr>
  </w:style>
  <w:style w:type="character" w:customStyle="1" w:styleId="97">
    <w:name w:val="正文文本缩进 3 字符1"/>
    <w:basedOn w:val="40"/>
    <w:semiHidden/>
    <w:qFormat/>
    <w:uiPriority w:val="99"/>
    <w:rPr>
      <w:sz w:val="16"/>
      <w:szCs w:val="16"/>
    </w:rPr>
  </w:style>
  <w:style w:type="character" w:customStyle="1" w:styleId="98">
    <w:name w:val="正文文本缩进 3 字符11"/>
    <w:basedOn w:val="40"/>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0"/>
    <w:qFormat/>
    <w:uiPriority w:val="10"/>
    <w:rPr>
      <w:rFonts w:asciiTheme="majorHAnsi" w:hAnsiTheme="majorHAnsi" w:eastAsiaTheme="majorEastAsia" w:cstheme="majorBidi"/>
      <w:b/>
      <w:bCs/>
      <w:sz w:val="32"/>
      <w:szCs w:val="32"/>
    </w:rPr>
  </w:style>
  <w:style w:type="character" w:customStyle="1" w:styleId="102">
    <w:name w:val="标题 字符11"/>
    <w:basedOn w:val="40"/>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05"/>
    <w:next w:val="107"/>
    <w:qFormat/>
    <w:uiPriority w:val="0"/>
    <w:pPr>
      <w:spacing w:before="100" w:beforeAutospacing="1" w:after="100" w:afterAutospacing="1"/>
      <w:jc w:val="left"/>
    </w:pPr>
    <w:rPr>
      <w:rFonts w:ascii="宋体" w:hAnsi="宋体" w:eastAsia="宋体"/>
      <w:sz w:val="24"/>
      <w:szCs w:val="24"/>
    </w:rPr>
  </w:style>
  <w:style w:type="paragraph" w:customStyle="1" w:styleId="105">
    <w:name w:val="章标题"/>
    <w:next w:val="106"/>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10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07">
    <w:name w:val="0"/>
    <w:basedOn w:val="106"/>
    <w:qFormat/>
    <w:uiPriority w:val="0"/>
  </w:style>
  <w:style w:type="paragraph" w:customStyle="1" w:styleId="108">
    <w:name w:val="二级列表 Char"/>
    <w:basedOn w:val="1"/>
    <w:qFormat/>
    <w:uiPriority w:val="0"/>
    <w:rPr>
      <w:rFonts w:ascii="Calibri" w:hAnsi="Calibri" w:eastAsia="宋体" w:cs="Times New Roman"/>
      <w:szCs w:val="20"/>
    </w:rPr>
  </w:style>
  <w:style w:type="paragraph" w:customStyle="1" w:styleId="109">
    <w:name w:val="2"/>
    <w:basedOn w:val="110"/>
    <w:next w:val="107"/>
    <w:qFormat/>
    <w:uiPriority w:val="0"/>
    <w:pPr>
      <w:spacing w:after="160" w:line="240" w:lineRule="exact"/>
      <w:jc w:val="left"/>
    </w:pPr>
    <w:rPr>
      <w:rFonts w:ascii="Arial" w:hAnsi="Arial" w:eastAsia="宋体" w:cs="Verdana"/>
      <w:b/>
      <w:sz w:val="24"/>
      <w:szCs w:val="24"/>
      <w:lang w:eastAsia="en-US" w:bidi="th-TH"/>
    </w:rPr>
  </w:style>
  <w:style w:type="paragraph" w:customStyle="1" w:styleId="110">
    <w:name w:val="一级条标题"/>
    <w:basedOn w:val="105"/>
    <w:next w:val="106"/>
    <w:qFormat/>
    <w:uiPriority w:val="0"/>
    <w:pPr>
      <w:numPr>
        <w:ilvl w:val="2"/>
      </w:numPr>
      <w:spacing w:beforeLines="0" w:afterLines="0"/>
      <w:outlineLvl w:val="2"/>
    </w:pPr>
  </w:style>
  <w:style w:type="paragraph" w:customStyle="1" w:styleId="111">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2">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4">
    <w:name w:val="Char Char Char Char Char Char Char"/>
    <w:basedOn w:val="1"/>
    <w:qFormat/>
    <w:uiPriority w:val="0"/>
    <w:rPr>
      <w:rFonts w:ascii="Verdana" w:hAnsi="Verdana" w:eastAsia="宋体" w:cs="Times New Roman"/>
      <w:kern w:val="0"/>
      <w:sz w:val="20"/>
      <w:szCs w:val="20"/>
      <w:lang w:eastAsia="en-US"/>
    </w:rPr>
  </w:style>
  <w:style w:type="paragraph" w:customStyle="1" w:styleId="115">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6">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7">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8">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9">
    <w:name w:val="标书正文格式"/>
    <w:basedOn w:val="17"/>
    <w:link w:val="121"/>
    <w:qFormat/>
    <w:uiPriority w:val="0"/>
    <w:pPr>
      <w:spacing w:line="360" w:lineRule="auto"/>
      <w:ind w:firstLine="200" w:firstLineChars="200"/>
    </w:pPr>
    <w:rPr>
      <w:rFonts w:hAnsi="宋体"/>
      <w:color w:val="000000"/>
      <w:sz w:val="24"/>
      <w:szCs w:val="24"/>
    </w:rPr>
  </w:style>
  <w:style w:type="paragraph" w:customStyle="1" w:styleId="120">
    <w:name w:val="标书二级标题"/>
    <w:basedOn w:val="3"/>
    <w:link w:val="123"/>
    <w:qFormat/>
    <w:uiPriority w:val="0"/>
    <w:pPr>
      <w:spacing w:line="240" w:lineRule="auto"/>
      <w:jc w:val="left"/>
    </w:pPr>
    <w:rPr>
      <w:rFonts w:ascii="宋体" w:hAnsi="宋体" w:eastAsia="黑体"/>
      <w:b w:val="0"/>
      <w:sz w:val="28"/>
      <w:szCs w:val="30"/>
    </w:rPr>
  </w:style>
  <w:style w:type="character" w:customStyle="1" w:styleId="121">
    <w:name w:val="标书正文格式 字符"/>
    <w:link w:val="119"/>
    <w:qFormat/>
    <w:locked/>
    <w:uiPriority w:val="0"/>
    <w:rPr>
      <w:rFonts w:ascii="宋体" w:hAnsi="宋体"/>
      <w:color w:val="000000"/>
      <w:sz w:val="24"/>
      <w:szCs w:val="24"/>
    </w:rPr>
  </w:style>
  <w:style w:type="paragraph" w:customStyle="1" w:styleId="122">
    <w:name w:val="标书表格"/>
    <w:basedOn w:val="1"/>
    <w:link w:val="124"/>
    <w:qFormat/>
    <w:uiPriority w:val="0"/>
    <w:pPr>
      <w:jc w:val="center"/>
    </w:pPr>
    <w:rPr>
      <w:rFonts w:ascii="Times New Roman" w:hAnsi="Times New Roman" w:eastAsia="宋体" w:cs="Times New Roman"/>
      <w:b/>
      <w:szCs w:val="20"/>
    </w:rPr>
  </w:style>
  <w:style w:type="character" w:customStyle="1" w:styleId="123">
    <w:name w:val="标书二级标题 字符"/>
    <w:link w:val="120"/>
    <w:qFormat/>
    <w:locked/>
    <w:uiPriority w:val="0"/>
    <w:rPr>
      <w:rFonts w:ascii="宋体" w:hAnsi="宋体" w:eastAsia="黑体" w:cs="Times New Roman"/>
      <w:bCs/>
      <w:sz w:val="28"/>
      <w:szCs w:val="30"/>
    </w:rPr>
  </w:style>
  <w:style w:type="character" w:customStyle="1" w:styleId="124">
    <w:name w:val="标书表格 字符"/>
    <w:link w:val="122"/>
    <w:qFormat/>
    <w:locked/>
    <w:uiPriority w:val="0"/>
    <w:rPr>
      <w:rFonts w:ascii="Times New Roman" w:hAnsi="Times New Roman" w:eastAsia="宋体" w:cs="Times New Roman"/>
      <w:b/>
      <w:szCs w:val="20"/>
    </w:rPr>
  </w:style>
  <w:style w:type="paragraph" w:customStyle="1" w:styleId="125">
    <w:name w:val="标书三级标题"/>
    <w:basedOn w:val="4"/>
    <w:next w:val="119"/>
    <w:link w:val="126"/>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6">
    <w:name w:val="标书三级标题 字符"/>
    <w:link w:val="125"/>
    <w:qFormat/>
    <w:locked/>
    <w:uiPriority w:val="0"/>
    <w:rPr>
      <w:rFonts w:ascii="Times New Roman" w:hAnsi="Times New Roman" w:eastAsia="宋体" w:cs="Times New Roman"/>
      <w:b/>
      <w:bCs/>
      <w:color w:val="000000"/>
      <w:sz w:val="24"/>
      <w:szCs w:val="24"/>
    </w:rPr>
  </w:style>
  <w:style w:type="character" w:customStyle="1" w:styleId="127">
    <w:name w:val="标三级标题 字符"/>
    <w:link w:val="128"/>
    <w:qFormat/>
    <w:locked/>
    <w:uiPriority w:val="0"/>
    <w:rPr>
      <w:b/>
      <w:color w:val="000000"/>
      <w:sz w:val="24"/>
    </w:rPr>
  </w:style>
  <w:style w:type="paragraph" w:customStyle="1" w:styleId="128">
    <w:name w:val="标三级标题"/>
    <w:basedOn w:val="125"/>
    <w:link w:val="127"/>
    <w:qFormat/>
    <w:uiPriority w:val="0"/>
    <w:rPr>
      <w:rFonts w:asciiTheme="minorHAnsi" w:hAnsiTheme="minorHAnsi" w:eastAsiaTheme="minorEastAsia" w:cstheme="minorBidi"/>
      <w:bCs w:val="0"/>
      <w:szCs w:val="22"/>
    </w:rPr>
  </w:style>
  <w:style w:type="character" w:customStyle="1" w:styleId="129">
    <w:name w:val="标正文 字符"/>
    <w:link w:val="130"/>
    <w:qFormat/>
    <w:locked/>
    <w:uiPriority w:val="0"/>
    <w:rPr>
      <w:rFonts w:ascii="宋体" w:eastAsia="宋体"/>
      <w:color w:val="000000"/>
      <w:sz w:val="24"/>
    </w:rPr>
  </w:style>
  <w:style w:type="paragraph" w:customStyle="1" w:styleId="130">
    <w:name w:val="标正文"/>
    <w:basedOn w:val="119"/>
    <w:link w:val="129"/>
    <w:qFormat/>
    <w:uiPriority w:val="0"/>
    <w:pPr>
      <w:ind w:firstLine="480"/>
    </w:pPr>
    <w:rPr>
      <w:rFonts w:eastAsia="宋体" w:hAnsiTheme="minorHAnsi"/>
      <w:szCs w:val="22"/>
    </w:rPr>
  </w:style>
  <w:style w:type="paragraph" w:customStyle="1" w:styleId="131">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2">
    <w:name w:val="HR正文表格"/>
    <w:basedOn w:val="1"/>
    <w:qFormat/>
    <w:uiPriority w:val="0"/>
    <w:pPr>
      <w:spacing w:beforeLines="25" w:afterLines="25" w:line="300" w:lineRule="auto"/>
    </w:pPr>
    <w:rPr>
      <w:szCs w:val="24"/>
    </w:rPr>
  </w:style>
  <w:style w:type="paragraph" w:styleId="133">
    <w:name w:val="List Paragraph"/>
    <w:basedOn w:val="1"/>
    <w:qFormat/>
    <w:uiPriority w:val="99"/>
    <w:pPr>
      <w:ind w:firstLine="420" w:firstLineChars="200"/>
    </w:pPr>
  </w:style>
  <w:style w:type="paragraph" w:customStyle="1" w:styleId="134">
    <w:name w:val="WPSOffice手动目录 1"/>
    <w:qFormat/>
    <w:uiPriority w:val="0"/>
    <w:rPr>
      <w:rFonts w:ascii="Times New Roman" w:hAnsi="Times New Roman" w:eastAsia="宋体" w:cs="Times New Roman"/>
      <w:lang w:val="en-US" w:eastAsia="zh-CN" w:bidi="ar-SA"/>
    </w:rPr>
  </w:style>
  <w:style w:type="table" w:customStyle="1" w:styleId="135">
    <w:name w:val="Table Normal"/>
    <w:semiHidden/>
    <w:unhideWhenUsed/>
    <w:qFormat/>
    <w:uiPriority w:val="0"/>
    <w:tblPr>
      <w:tblCellMar>
        <w:top w:w="0" w:type="dxa"/>
        <w:left w:w="0" w:type="dxa"/>
        <w:bottom w:w="0" w:type="dxa"/>
        <w:right w:w="0" w:type="dxa"/>
      </w:tblCellMar>
    </w:tblPr>
  </w:style>
  <w:style w:type="character" w:customStyle="1" w:styleId="136">
    <w:name w:val="NormalCharacter"/>
    <w:qFormat/>
    <w:uiPriority w:val="0"/>
  </w:style>
  <w:style w:type="paragraph" w:customStyle="1" w:styleId="137">
    <w:name w:val="Table Paragraph"/>
    <w:basedOn w:val="1"/>
    <w:qFormat/>
    <w:uiPriority w:val="1"/>
    <w:rPr>
      <w:rFonts w:ascii="宋体" w:hAnsi="宋体" w:eastAsia="宋体" w:cs="宋体"/>
    </w:rPr>
  </w:style>
  <w:style w:type="paragraph" w:customStyle="1" w:styleId="138">
    <w:name w:val="标书一级标题"/>
    <w:basedOn w:val="2"/>
    <w:qFormat/>
    <w:uiPriority w:val="0"/>
    <w:rPr>
      <w:rFonts w:eastAsia="黑体"/>
      <w:b w:val="0"/>
      <w:color w:val="000000"/>
      <w:sz w:val="30"/>
      <w:szCs w:val="24"/>
    </w:rPr>
  </w:style>
  <w:style w:type="paragraph" w:customStyle="1" w:styleId="139">
    <w:name w:val="FAW正文"/>
    <w:basedOn w:val="1"/>
    <w:qFormat/>
    <w:uiPriority w:val="99"/>
    <w:pPr>
      <w:spacing w:line="300" w:lineRule="auto"/>
      <w:ind w:firstLine="200" w:firstLineChars="200"/>
    </w:pPr>
    <w:rPr>
      <w:rFonts w:ascii="Calibri" w:hAnsi="Calibri"/>
      <w:sz w:val="24"/>
      <w:szCs w:val="24"/>
    </w:rPr>
  </w:style>
  <w:style w:type="character" w:customStyle="1" w:styleId="140">
    <w:name w:val="font11"/>
    <w:basedOn w:val="40"/>
    <w:qFormat/>
    <w:uiPriority w:val="0"/>
    <w:rPr>
      <w:rFonts w:hint="eastAsia" w:ascii="宋体" w:hAnsi="宋体" w:eastAsia="宋体" w:cs="宋体"/>
      <w:b/>
      <w:bCs/>
      <w:color w:val="000000"/>
      <w:sz w:val="21"/>
      <w:szCs w:val="21"/>
      <w:u w:val="none"/>
    </w:rPr>
  </w:style>
  <w:style w:type="character" w:customStyle="1" w:styleId="141">
    <w:name w:val="font21"/>
    <w:basedOn w:val="40"/>
    <w:qFormat/>
    <w:uiPriority w:val="0"/>
    <w:rPr>
      <w:rFonts w:hint="eastAsia" w:ascii="宋体" w:hAnsi="宋体" w:eastAsia="宋体" w:cs="宋体"/>
      <w:color w:val="000000"/>
      <w:sz w:val="21"/>
      <w:szCs w:val="21"/>
      <w:u w:val="none"/>
    </w:rPr>
  </w:style>
  <w:style w:type="character" w:customStyle="1" w:styleId="142">
    <w:name w:val="font31"/>
    <w:basedOn w:val="40"/>
    <w:qFormat/>
    <w:uiPriority w:val="0"/>
    <w:rPr>
      <w:rFonts w:hint="eastAsia" w:ascii="宋体" w:hAnsi="宋体" w:eastAsia="宋体" w:cs="宋体"/>
      <w:color w:val="000000"/>
      <w:sz w:val="21"/>
      <w:szCs w:val="21"/>
      <w:u w:val="none"/>
    </w:rPr>
  </w:style>
  <w:style w:type="paragraph" w:customStyle="1" w:styleId="143">
    <w:name w:val="二级条标题"/>
    <w:basedOn w:val="110"/>
    <w:next w:val="106"/>
    <w:qFormat/>
    <w:uiPriority w:val="0"/>
    <w:pPr>
      <w:numPr>
        <w:ilvl w:val="0"/>
        <w:numId w:val="0"/>
      </w:numPr>
      <w:ind w:left="3827"/>
      <w:outlineLvl w:val="3"/>
    </w:pPr>
  </w:style>
  <w:style w:type="paragraph" w:customStyle="1" w:styleId="144">
    <w:name w:val="三级条标题"/>
    <w:basedOn w:val="143"/>
    <w:next w:val="106"/>
    <w:qFormat/>
    <w:uiPriority w:val="0"/>
    <w:pPr>
      <w:numPr>
        <w:ilvl w:val="4"/>
      </w:numPr>
      <w:ind w:left="3827"/>
      <w:outlineLvl w:val="4"/>
    </w:pPr>
  </w:style>
  <w:style w:type="paragraph" w:customStyle="1" w:styleId="145">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146">
    <w:name w:val="标准书脚_偶数页"/>
    <w:qFormat/>
    <w:uiPriority w:val="0"/>
    <w:pPr>
      <w:spacing w:before="120"/>
    </w:pPr>
    <w:rPr>
      <w:rFonts w:ascii="Times New Roman" w:hAnsi="Times New Roman" w:eastAsia="宋体" w:cs="Times New Roman"/>
      <w:sz w:val="18"/>
      <w:lang w:val="en-US" w:eastAsia="zh-CN" w:bidi="ar-SA"/>
    </w:rPr>
  </w:style>
  <w:style w:type="paragraph" w:customStyle="1" w:styleId="147">
    <w:name w:val="封面正文"/>
    <w:semiHidden/>
    <w:qFormat/>
    <w:uiPriority w:val="0"/>
    <w:pPr>
      <w:jc w:val="both"/>
    </w:pPr>
    <w:rPr>
      <w:rFonts w:ascii="Times New Roman" w:hAnsi="Times New Roman" w:eastAsia="宋体" w:cs="Times New Roman"/>
      <w:lang w:val="en-US" w:eastAsia="zh-CN" w:bidi="ar-SA"/>
    </w:rPr>
  </w:style>
  <w:style w:type="paragraph" w:customStyle="1" w:styleId="148">
    <w:name w:val="3.1"/>
    <w:basedOn w:val="143"/>
    <w:next w:val="107"/>
    <w:qFormat/>
    <w:uiPriority w:val="0"/>
    <w:pPr>
      <w:spacing w:before="25" w:beforeLines="25" w:after="25" w:afterLines="25"/>
    </w:pPr>
  </w:style>
  <w:style w:type="paragraph" w:customStyle="1" w:styleId="149">
    <w:name w:val="_Style 1"/>
    <w:basedOn w:val="1"/>
    <w:semiHidden/>
    <w:qFormat/>
    <w:uiPriority w:val="34"/>
    <w:pPr>
      <w:ind w:firstLine="420" w:firstLineChars="200"/>
    </w:pPr>
  </w:style>
  <w:style w:type="paragraph" w:customStyle="1" w:styleId="150">
    <w:name w:val="3.2"/>
    <w:basedOn w:val="143"/>
    <w:next w:val="107"/>
    <w:qFormat/>
    <w:uiPriority w:val="0"/>
    <w:pPr>
      <w:numPr>
        <w:ilvl w:val="3"/>
        <w:numId w:val="2"/>
      </w:numPr>
      <w:spacing w:before="25" w:beforeLines="25" w:after="25" w:afterLines="25"/>
    </w:pPr>
    <w:rPr>
      <w:rFonts w:ascii="宋体" w:hAnsi="宋体" w:eastAsia="宋体"/>
    </w:rPr>
  </w:style>
  <w:style w:type="paragraph" w:customStyle="1" w:styleId="151">
    <w:name w:val="4"/>
    <w:basedOn w:val="143"/>
    <w:next w:val="107"/>
    <w:qFormat/>
    <w:uiPriority w:val="0"/>
    <w:pPr>
      <w:numPr>
        <w:ilvl w:val="4"/>
        <w:numId w:val="2"/>
      </w:numPr>
      <w:outlineLvl w:val="4"/>
    </w:pPr>
    <w:rPr>
      <w:rFonts w:ascii="宋体" w:hAnsi="宋体" w:eastAsia="宋体"/>
      <w:color w:val="000000"/>
      <w:szCs w:val="21"/>
    </w:rPr>
  </w:style>
  <w:style w:type="paragraph" w:customStyle="1" w:styleId="152">
    <w:name w:val="其他发布部门"/>
    <w:basedOn w:val="153"/>
    <w:semiHidden/>
    <w:qFormat/>
    <w:uiPriority w:val="0"/>
    <w:pPr>
      <w:framePr w:wrap="around"/>
      <w:spacing w:line="0" w:lineRule="atLeast"/>
    </w:pPr>
    <w:rPr>
      <w:rFonts w:ascii="黑体" w:eastAsia="黑体"/>
      <w:b w:val="0"/>
    </w:rPr>
  </w:style>
  <w:style w:type="paragraph" w:customStyle="1" w:styleId="153">
    <w:name w:val="发布部门"/>
    <w:next w:val="106"/>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54">
    <w:name w:val="_Style 332"/>
    <w:basedOn w:val="1"/>
    <w:next w:val="133"/>
    <w:qFormat/>
    <w:uiPriority w:val="1"/>
    <w:pPr>
      <w:ind w:firstLine="420" w:firstLineChars="200"/>
    </w:pPr>
    <w:rPr>
      <w:szCs w:val="24"/>
    </w:rPr>
  </w:style>
  <w:style w:type="paragraph" w:customStyle="1" w:styleId="155">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paragraph" w:customStyle="1" w:styleId="156">
    <w:name w:val="表格"/>
    <w:basedOn w:val="1"/>
    <w:qFormat/>
    <w:uiPriority w:val="10"/>
    <w:rPr>
      <w:rFonts w:ascii="宋体" w:hAnsi="宋体"/>
      <w:szCs w:val="30"/>
    </w:rPr>
  </w:style>
  <w:style w:type="paragraph" w:customStyle="1" w:styleId="157">
    <w:name w:val="章节"/>
    <w:basedOn w:val="17"/>
    <w:qFormat/>
    <w:uiPriority w:val="0"/>
    <w:pPr>
      <w:spacing w:line="360" w:lineRule="auto"/>
      <w:jc w:val="center"/>
      <w:outlineLvl w:val="0"/>
    </w:pPr>
    <w:rPr>
      <w:rFonts w:ascii="黑体" w:eastAsia="黑体"/>
      <w:b/>
      <w:bCs/>
      <w:sz w:val="36"/>
      <w:szCs w:val="36"/>
    </w:rPr>
  </w:style>
  <w:style w:type="paragraph" w:customStyle="1" w:styleId="158">
    <w:name w:val="一级标题"/>
    <w:basedOn w:val="17"/>
    <w:qFormat/>
    <w:uiPriority w:val="1"/>
    <w:pPr>
      <w:numPr>
        <w:ilvl w:val="0"/>
        <w:numId w:val="3"/>
      </w:numPr>
      <w:spacing w:line="360" w:lineRule="auto"/>
      <w:ind w:left="420"/>
      <w:outlineLvl w:val="1"/>
    </w:pPr>
    <w:rPr>
      <w:rFonts w:ascii="黑体" w:eastAsia="黑体"/>
      <w:b/>
      <w:bCs/>
      <w:sz w:val="28"/>
    </w:rPr>
  </w:style>
  <w:style w:type="paragraph" w:customStyle="1" w:styleId="159">
    <w:name w:val="（二）级标题"/>
    <w:basedOn w:val="17"/>
    <w:qFormat/>
    <w:uiPriority w:val="2"/>
    <w:pPr>
      <w:numPr>
        <w:ilvl w:val="0"/>
        <w:numId w:val="4"/>
      </w:numPr>
      <w:spacing w:line="360" w:lineRule="auto"/>
      <w:outlineLvl w:val="2"/>
    </w:pPr>
    <w:rPr>
      <w:b/>
    </w:rPr>
  </w:style>
  <w:style w:type="paragraph" w:customStyle="1" w:styleId="160">
    <w:name w:val="标书正文"/>
    <w:basedOn w:val="17"/>
    <w:qFormat/>
    <w:uiPriority w:val="9"/>
    <w:pPr>
      <w:spacing w:line="360" w:lineRule="auto"/>
      <w:jc w:val="left"/>
    </w:pPr>
  </w:style>
  <w:style w:type="paragraph" w:customStyle="1" w:styleId="161">
    <w:name w:val="3级标题"/>
    <w:basedOn w:val="17"/>
    <w:qFormat/>
    <w:uiPriority w:val="3"/>
    <w:pPr>
      <w:numPr>
        <w:ilvl w:val="0"/>
        <w:numId w:val="5"/>
      </w:numPr>
      <w:spacing w:line="360" w:lineRule="auto"/>
      <w:outlineLvl w:val="3"/>
    </w:pPr>
    <w:rPr>
      <w:b/>
    </w:rPr>
  </w:style>
  <w:style w:type="paragraph" w:customStyle="1" w:styleId="162">
    <w:name w:val="（4）级标题"/>
    <w:basedOn w:val="17"/>
    <w:qFormat/>
    <w:uiPriority w:val="8"/>
    <w:pPr>
      <w:numPr>
        <w:ilvl w:val="0"/>
        <w:numId w:val="6"/>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4" Type="http://schemas.openxmlformats.org/officeDocument/2006/relationships/fontTable" Target="fontTable.xml"/><Relationship Id="rId43" Type="http://schemas.openxmlformats.org/officeDocument/2006/relationships/customXml" Target="../customXml/item2.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image" Target="media/image19.png"/><Relationship Id="rId4" Type="http://schemas.openxmlformats.org/officeDocument/2006/relationships/header" Target="header2.xml"/><Relationship Id="rId39" Type="http://schemas.openxmlformats.org/officeDocument/2006/relationships/image" Target="media/image18.png"/><Relationship Id="rId38" Type="http://schemas.openxmlformats.org/officeDocument/2006/relationships/image" Target="media/image17.png"/><Relationship Id="rId37" Type="http://schemas.openxmlformats.org/officeDocument/2006/relationships/image" Target="media/image16.png"/><Relationship Id="rId36" Type="http://schemas.openxmlformats.org/officeDocument/2006/relationships/image" Target="media/image15.pn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jpeg"/><Relationship Id="rId27" Type="http://schemas.openxmlformats.org/officeDocument/2006/relationships/image" Target="media/image6.jpe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jpeg"/><Relationship Id="rId22" Type="http://schemas.openxmlformats.org/officeDocument/2006/relationships/image" Target="media/image1.jpeg"/><Relationship Id="rId21" Type="http://schemas.openxmlformats.org/officeDocument/2006/relationships/theme" Target="theme/theme1.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528B8B-13DA-4179-B8DA-9B3B9D8EE749}">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89</Pages>
  <Words>10286</Words>
  <Characters>10854</Characters>
  <Lines>416</Lines>
  <Paragraphs>117</Paragraphs>
  <TotalTime>53</TotalTime>
  <ScaleCrop>false</ScaleCrop>
  <LinksUpToDate>false</LinksUpToDate>
  <CharactersWithSpaces>10986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2024-11-21T09:50:00Z</dcterms:created>
  <dc:creator>ZQNet</dc:creator>
  <cp:lastModifiedBy>OUTSIDER</cp:lastModifiedBy>
  <cp:lastPrinted>2022-07-01T03:19:00Z</cp:lastPrinted>
  <dcterms:modified xsi:type="dcterms:W3CDTF">2026-04-23T09:00:59Z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5035C9CBC4184D29A655D3E07D53D953_13</vt:lpwstr>
  </property>
  <property fmtid="{D5CDD505-2E9C-101B-9397-08002B2CF9AE}" pid="4" name="KSOTemplateDocerSaveRecord">
    <vt:lpwstr>eyJoZGlkIjoiMDgwMGY1YTdiNGZkNWNlNjk3MDRhNTZmYTg3Nzk2YzYiLCJ1c2VySWQiOiI1MzQzNDE1NjEifQ==</vt:lpwstr>
  </property>
</Properties>
</file>